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rPr>
          <w:rFonts w:hint="eastAsia" w:ascii="黑体" w:hAnsi="黑体" w:eastAsia="黑体"/>
          <w:color w:val="000000"/>
          <w:sz w:val="32"/>
          <w:szCs w:val="32"/>
        </w:rPr>
      </w:pPr>
      <w:r>
        <w:rPr>
          <w:rFonts w:hint="eastAsia" w:ascii="黑体" w:hAnsi="黑体" w:eastAsia="黑体"/>
          <w:color w:val="000000"/>
          <w:sz w:val="32"/>
          <w:szCs w:val="32"/>
        </w:rPr>
        <w:t>附件</w:t>
      </w:r>
    </w:p>
    <w:p>
      <w:pPr>
        <w:spacing w:beforeLines="0" w:afterLines="0" w:line="560" w:lineRule="exact"/>
        <w:jc w:val="left"/>
        <w:rPr>
          <w:rFonts w:hint="eastAsia" w:ascii="黑体" w:hAnsi="黑体" w:eastAsia="黑体"/>
          <w:color w:val="000000"/>
          <w:sz w:val="32"/>
          <w:szCs w:val="32"/>
        </w:rPr>
      </w:pPr>
    </w:p>
    <w:p>
      <w:pPr>
        <w:spacing w:beforeLines="0" w:afterLines="0" w:line="560" w:lineRule="exact"/>
        <w:jc w:val="center"/>
        <w:rPr>
          <w:rFonts w:hint="eastAsia" w:ascii="黑体" w:hAnsi="黑体" w:eastAsia="黑体"/>
          <w:color w:val="000000"/>
          <w:sz w:val="36"/>
          <w:szCs w:val="36"/>
        </w:rPr>
      </w:pPr>
      <w:bookmarkStart w:id="1" w:name="_GoBack"/>
      <w:r>
        <w:rPr>
          <w:rFonts w:hint="eastAsia" w:ascii="黑体" w:hAnsi="黑体" w:eastAsia="黑体"/>
          <w:color w:val="000000"/>
          <w:sz w:val="36"/>
          <w:szCs w:val="36"/>
        </w:rPr>
        <w:t>自治区本级定点医药机构违规情况明细表</w:t>
      </w:r>
      <w:bookmarkEnd w:id="1"/>
    </w:p>
    <w:p>
      <w:pPr>
        <w:spacing w:beforeLines="0" w:afterLines="0" w:line="560" w:lineRule="exact"/>
        <w:jc w:val="center"/>
        <w:rPr>
          <w:rFonts w:hint="eastAsia" w:ascii="黑体" w:hAnsi="黑体" w:eastAsia="黑体"/>
          <w:color w:val="000000"/>
          <w:sz w:val="36"/>
          <w:szCs w:val="36"/>
        </w:rPr>
      </w:pPr>
    </w:p>
    <w:p>
      <w:pPr>
        <w:spacing w:beforeLines="0" w:afterLines="0" w:line="560" w:lineRule="exact"/>
        <w:jc w:val="center"/>
        <w:rPr>
          <w:rFonts w:hint="eastAsia" w:ascii="黑体" w:hAnsi="黑体" w:eastAsia="黑体"/>
          <w:color w:val="000000"/>
          <w:sz w:val="36"/>
          <w:szCs w:val="36"/>
        </w:rPr>
      </w:pPr>
    </w:p>
    <w:tbl>
      <w:tblPr>
        <w:tblStyle w:val="11"/>
        <w:tblW w:w="96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2"/>
        <w:gridCol w:w="3804"/>
        <w:gridCol w:w="3856"/>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3804"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定点医药机构名称</w:t>
            </w:r>
          </w:p>
        </w:tc>
        <w:tc>
          <w:tcPr>
            <w:tcW w:w="3856"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违规行为</w:t>
            </w:r>
          </w:p>
        </w:tc>
        <w:tc>
          <w:tcPr>
            <w:tcW w:w="130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违规金额（元）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呼和浩特市天赐医药连锁有限公司第七药店</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超剂量用药。</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w:t>
            </w:r>
          </w:p>
        </w:tc>
        <w:tc>
          <w:tcPr>
            <w:tcW w:w="3804"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国药控股国大药房内蒙古有限公司第二门店</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无指征销售限制用药（金水宝胶囊）。</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04"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1.开具大处方。2.超剂量开药。</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1808.98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内蒙古京远大药房有限责任公司</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销售处方药无诊断。</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6931.91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4</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呼和浩特市赛罕区中专路办事处园艺居委会社区卫生服务站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处方无诊断。</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5</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呼和浩特市新城区东风路办事处社区卫生服务中心</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开具大处方。</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2385.18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6</w:t>
            </w:r>
          </w:p>
        </w:tc>
        <w:tc>
          <w:tcPr>
            <w:tcW w:w="3804"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呼和浩特市新城区中山东路办事处社区卫生服务中心</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无诊断用药。</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04"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用药不合理。</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441.75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7</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呼和浩特市回民区光明路办事处龙翔苑居委会社区卫生服务站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诊断与用药不符合。</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8</w:t>
            </w:r>
          </w:p>
        </w:tc>
        <w:tc>
          <w:tcPr>
            <w:tcW w:w="3804"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呼和浩特市赛罕区回民区通道街办事处社区卫生服务站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不符合医药服务项目范围。</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04"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超医保限定支付用药（美罗培南）。</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9</w:t>
            </w:r>
          </w:p>
        </w:tc>
        <w:tc>
          <w:tcPr>
            <w:tcW w:w="3804" w:type="dxa"/>
            <w:tcBorders>
              <w:top w:val="nil"/>
              <w:left w:val="nil"/>
              <w:bottom w:val="nil"/>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呼和浩特市新城区东风路办事处昭君新村居委会社区卫生服务站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无治疗记录单。</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54.68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10</w:t>
            </w:r>
          </w:p>
        </w:tc>
        <w:tc>
          <w:tcPr>
            <w:tcW w:w="3804" w:type="dxa"/>
            <w:tcBorders>
              <w:top w:val="single" w:color="auto" w:sz="4" w:space="0"/>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呼和浩特市赛罕区大学西路办事处牧机所居委会社区卫生服务站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超医保支付限定用药（天然安宫牛黄丸）。</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15927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11</w:t>
            </w:r>
          </w:p>
        </w:tc>
        <w:tc>
          <w:tcPr>
            <w:tcW w:w="3804"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呼和浩特市金桥开发区社区卫生服务中心</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用药处方明细与诊断不符合。</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194.26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04"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诊疗项目不规范。</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04"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超医保支付限定用药（银杏叶提取物注射液）。</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3314.03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15" w:hRule="atLeast"/>
          <w:jc w:val="center"/>
        </w:trPr>
        <w:tc>
          <w:tcPr>
            <w:tcW w:w="702"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12</w:t>
            </w:r>
          </w:p>
        </w:tc>
        <w:tc>
          <w:tcPr>
            <w:tcW w:w="3804" w:type="dxa"/>
            <w:vMerge w:val="restart"/>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呼和浩特市中专路办事处社区卫生服务中心</w:t>
            </w:r>
          </w:p>
        </w:tc>
        <w:tc>
          <w:tcPr>
            <w:tcW w:w="3856" w:type="dxa"/>
            <w:tcBorders>
              <w:top w:val="single" w:color="auto" w:sz="4" w:space="0"/>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超医保支付限定用药（人血白蛋白、重组2型肿瘤坏死因子受体-抗体融合蛋白）。</w:t>
            </w:r>
          </w:p>
        </w:tc>
        <w:tc>
          <w:tcPr>
            <w:tcW w:w="1300" w:type="dxa"/>
            <w:tcBorders>
              <w:top w:val="single" w:color="auto" w:sz="4" w:space="0"/>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8820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04"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超量开药。</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1768.8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13</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国药控股大药房内蒙古有限公司第一门店</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超医保支付限定用药（天然安宫牛黄丸）。</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14</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内蒙古众济堂医药有限公司</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超医保支付限定用药（天然安工牛黄丸）。</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15</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北京同仁堂呼和浩特药店有限责任公司东影南路店</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超医保支付限定用药（天然安宫牛黄丸）。</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302720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16</w:t>
            </w:r>
          </w:p>
        </w:tc>
        <w:tc>
          <w:tcPr>
            <w:tcW w:w="3804"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新城区国颐堂大药房</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医保系统与库存实际不符合。</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04"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超处方购药。</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04"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超医保支付限定用药（天然安宫牛黄丸）。</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17</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内蒙古国一堂大药房有限公司</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超医保支付限定用药（天然安宫牛黄丸）。</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26802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18</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呼和浩特市祥安医药有限公司</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串换药品。</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19</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呼和浩特市开心大药房</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串换药品。</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5377.5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20</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内蒙古北域健康药房连锁有限公司第六十六店</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串换药品。</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5153.6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21</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回民区环河路办事处新华南街居委会社区卫生服务站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停业或歇业后未报备。</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22</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 xml:space="preserve">内蒙古惠仁堂医药有限公司 </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无处方购药。</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23</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呼和浩特市赛罕区中专路办事处竹园居委会社区卫生服务站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1.门诊就诊记录登记不全。2.电子处方无法查询。</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24</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呼和浩特市赛罕区大学东路办事处农委居委会社区卫生服务站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1.处方不规范。2.过度治疗。</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25</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呼和浩特市回民区通道街办事处宽巷子居委会社区卫生服务站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1.未建立门诊病历。2.无患者就诊登记表。3.部分中药饮片加价超过300%。4.大处方。</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26</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内蒙古仁和堂医药连锁有限公司第五十五分公司</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1.大处方及检查治疗、用药与病情不一致。2.药品对照有误。3.处方不规范。</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10952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27</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呼和浩特市新城区迎新路办事处青山社区卫生服务站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过度诊疗。</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7263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5"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28</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内蒙古立安药房有限公司</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1.检查、治疗、用药与病情不一致，购买安宫牛黄丸，处方诊断糖尿病。2.目录对照有误。</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single" w:color="auto" w:sz="4" w:space="0"/>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29</w:t>
            </w:r>
          </w:p>
        </w:tc>
        <w:tc>
          <w:tcPr>
            <w:tcW w:w="3804" w:type="dxa"/>
            <w:tcBorders>
              <w:top w:val="single" w:color="auto" w:sz="4" w:space="0"/>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国药控股国大药房内蒙古第十三门店</w:t>
            </w:r>
          </w:p>
        </w:tc>
        <w:tc>
          <w:tcPr>
            <w:tcW w:w="3856" w:type="dxa"/>
            <w:tcBorders>
              <w:top w:val="single" w:color="auto" w:sz="4" w:space="0"/>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1.参保人员购买人血白蛋白，给父亲使用。2.处方不规范。</w:t>
            </w:r>
          </w:p>
        </w:tc>
        <w:tc>
          <w:tcPr>
            <w:tcW w:w="1300" w:type="dxa"/>
            <w:tcBorders>
              <w:top w:val="single" w:color="auto" w:sz="4" w:space="0"/>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1503.1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30</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呼和浩特市健宁药业有限责任公司</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1.无处方。2.销售系统与医保购药系统明细不一致。3、超量购药。</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31</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bookmarkStart w:id="0" w:name="RANGE!B40"/>
            <w:r>
              <w:rPr>
                <w:rFonts w:hint="eastAsia" w:ascii="仿宋" w:hAnsi="仿宋" w:eastAsia="仿宋" w:cs="宋体"/>
                <w:color w:val="000000"/>
                <w:kern w:val="0"/>
                <w:sz w:val="22"/>
                <w:szCs w:val="22"/>
              </w:rPr>
              <w:t>呼和浩特市新城区海东路办事处长海居委会社区卫生服务站</w:t>
            </w:r>
            <w:bookmarkEnd w:id="0"/>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处方与医保系统购药明细不一致</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32</w:t>
            </w:r>
          </w:p>
        </w:tc>
        <w:tc>
          <w:tcPr>
            <w:tcW w:w="3804"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新城区东街办事处老缸房东社区卫生服务站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大处方开药，处方不规范。</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85" w:hRule="atLeast"/>
          <w:jc w:val="center"/>
        </w:trPr>
        <w:tc>
          <w:tcPr>
            <w:tcW w:w="702"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04"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1.系统进销存未启用。2.收费系统混乱。3.诊断与用药不符。4.人员配备混乱。</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33</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呼和浩特市新城区东街办事处南马神庙居委会社区卫生服务站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处方不规范。</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45"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34</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呼和浩特市新城区迎新路办事处团结小区西区居委会社区卫生服务站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1.中药饮片加价超25%。2.处方不规范：开大处方、超限制类用药、售单方中药饮片。</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35</w:t>
            </w:r>
          </w:p>
        </w:tc>
        <w:tc>
          <w:tcPr>
            <w:tcW w:w="3804" w:type="dxa"/>
            <w:vMerge w:val="restart"/>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呼和浩特市赛罕区金桥开发区检察院小区社区卫生服务站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处方不规范。</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5" w:hRule="atLeast"/>
          <w:jc w:val="center"/>
        </w:trPr>
        <w:tc>
          <w:tcPr>
            <w:tcW w:w="702"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04" w:type="dxa"/>
            <w:vMerge w:val="continue"/>
            <w:tcBorders>
              <w:top w:val="nil"/>
              <w:left w:val="single" w:color="auto" w:sz="4" w:space="0"/>
              <w:bottom w:val="single" w:color="auto" w:sz="4" w:space="0"/>
              <w:right w:val="single" w:color="auto" w:sz="4" w:space="0"/>
              <w:tl2br w:val="nil"/>
              <w:tr2bl w:val="nil"/>
            </w:tcBorders>
            <w:shd w:val="clear" w:color="auto" w:fill="auto"/>
            <w:noWrap w:val="0"/>
            <w:vAlign w:val="center"/>
          </w:tcPr>
          <w:p>
            <w:pPr>
              <w:widowControl/>
              <w:spacing w:beforeLines="0" w:afterLines="0"/>
              <w:jc w:val="left"/>
              <w:rPr>
                <w:rFonts w:hint="eastAsia" w:ascii="仿宋" w:hAnsi="仿宋" w:eastAsia="仿宋" w:cs="宋体"/>
                <w:color w:val="000000"/>
                <w:kern w:val="0"/>
                <w:sz w:val="22"/>
                <w:szCs w:val="22"/>
              </w:rPr>
            </w:pP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1.诊断与处方不符。2.进销存混乱。3.中草药超价。</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40.45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36</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呼和浩特市回民区钢铁路办事处咱家居委会社区卫生服务站</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处方不规范。</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15"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37</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内蒙古天立药房连锁有限公司呼和浩特桥靠西街店</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处方填写不规范 。2、2023年1月1日-1月5日，销售人血白蛋白处方不规范。</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5088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15"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38</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呼和浩特市天赐医药连锁有限公司第五药店</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1.根据疑点数据推送发现超量开开塞露2笔。2.处方不规范。3.超量开药。4.开大处方。</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989.4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35"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39</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回民区天旭药店</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1.电子处方不完善。2.店内销售系统与接入医保的销售系统不符。</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470" w:hRule="atLeast"/>
          <w:jc w:val="center"/>
        </w:trPr>
        <w:tc>
          <w:tcPr>
            <w:tcW w:w="702" w:type="dxa"/>
            <w:tcBorders>
              <w:top w:val="nil"/>
              <w:left w:val="single" w:color="auto" w:sz="4" w:space="0"/>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40</w:t>
            </w:r>
          </w:p>
        </w:tc>
        <w:tc>
          <w:tcPr>
            <w:tcW w:w="3804"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内蒙古北域药业有限责任公司附院分公司</w:t>
            </w:r>
          </w:p>
        </w:tc>
        <w:tc>
          <w:tcPr>
            <w:tcW w:w="3856"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left"/>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1.处方不规范，诊断无信息，诊断与用药不符，大处方。2.销售限制类用药，持卡人与处方人非同一人。（人血白蛋白、银杏叶提取物注射液）</w:t>
            </w:r>
          </w:p>
        </w:tc>
        <w:tc>
          <w:tcPr>
            <w:tcW w:w="1300" w:type="dxa"/>
            <w:tcBorders>
              <w:top w:val="nil"/>
              <w:left w:val="nil"/>
              <w:bottom w:val="single" w:color="auto" w:sz="4" w:space="0"/>
              <w:right w:val="single" w:color="auto" w:sz="4" w:space="0"/>
              <w:tl2br w:val="nil"/>
              <w:tr2bl w:val="nil"/>
            </w:tcBorders>
            <w:shd w:val="clear" w:color="000000" w:fill="FFFFFF"/>
            <w:noWrap w:val="0"/>
            <w:vAlign w:val="center"/>
          </w:tcPr>
          <w:p>
            <w:pPr>
              <w:widowControl/>
              <w:spacing w:beforeLines="0" w:afterLines="0"/>
              <w:jc w:val="center"/>
              <w:rPr>
                <w:rFonts w:hint="eastAsia" w:ascii="仿宋" w:hAnsi="仿宋" w:eastAsia="仿宋" w:cs="宋体"/>
                <w:color w:val="000000"/>
                <w:kern w:val="0"/>
                <w:sz w:val="22"/>
                <w:szCs w:val="22"/>
              </w:rPr>
            </w:pPr>
            <w:r>
              <w:rPr>
                <w:rFonts w:hint="eastAsia" w:ascii="仿宋" w:hAnsi="仿宋" w:eastAsia="仿宋" w:cs="宋体"/>
                <w:color w:val="000000"/>
                <w:kern w:val="0"/>
                <w:sz w:val="22"/>
                <w:szCs w:val="22"/>
              </w:rPr>
              <w:t>23795.2</w:t>
            </w:r>
          </w:p>
        </w:tc>
      </w:tr>
    </w:tbl>
    <w:p>
      <w:pPr>
        <w:spacing w:beforeLines="0" w:afterLines="0" w:line="560" w:lineRule="exact"/>
        <w:jc w:val="left"/>
        <w:rPr>
          <w:rFonts w:hint="eastAsia" w:ascii="仿宋" w:hAnsi="仿宋" w:eastAsia="仿宋"/>
          <w:color w:val="000000"/>
          <w:sz w:val="32"/>
          <w:szCs w:val="32"/>
        </w:rPr>
      </w:pPr>
    </w:p>
    <w:p>
      <w:pPr>
        <w:spacing w:beforeLines="0" w:afterLines="0" w:line="560" w:lineRule="exact"/>
        <w:jc w:val="left"/>
        <w:rPr>
          <w:rFonts w:hint="eastAsia" w:ascii="仿宋" w:hAnsi="仿宋" w:eastAsia="仿宋"/>
          <w:color w:val="000000"/>
          <w:sz w:val="32"/>
          <w:szCs w:val="32"/>
        </w:rPr>
      </w:pPr>
    </w:p>
    <w:p>
      <w:pPr>
        <w:spacing w:beforeLines="0" w:afterLines="0" w:line="560" w:lineRule="exact"/>
        <w:jc w:val="left"/>
        <w:rPr>
          <w:rFonts w:hint="eastAsia" w:ascii="仿宋" w:hAnsi="仿宋" w:eastAsia="仿宋"/>
          <w:color w:val="000000"/>
          <w:sz w:val="32"/>
          <w:szCs w:val="32"/>
        </w:rPr>
      </w:pPr>
    </w:p>
    <w:p>
      <w:pPr>
        <w:spacing w:beforeLines="0" w:afterLines="0" w:line="560" w:lineRule="exact"/>
        <w:rPr>
          <w:rFonts w:hint="default"/>
          <w:sz w:val="21"/>
          <w:szCs w:val="22"/>
        </w:rPr>
      </w:pPr>
    </w:p>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67D3A"/>
    <w:multiLevelType w:val="multilevel"/>
    <w:tmpl w:val="82D67D3A"/>
    <w:lvl w:ilvl="0" w:tentative="0">
      <w:start w:val="1"/>
      <w:numFmt w:val="chineseCounting"/>
      <w:suff w:val="nothing"/>
      <w:lvlText w:val="（%1）"/>
      <w:lvlJc w:val="left"/>
      <w:pPr>
        <w:ind w:left="0" w:firstLine="420"/>
      </w:pPr>
      <w:rPr>
        <w:rFonts w:hint="eastAsia"/>
      </w:rPr>
    </w:lvl>
    <w:lvl w:ilvl="1" w:tentative="0">
      <w:start w:val="1"/>
      <w:numFmt w:val="decimal"/>
      <w:pStyle w:val="17"/>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1">
    <w:nsid w:val="9498AF77"/>
    <w:multiLevelType w:val="multilevel"/>
    <w:tmpl w:val="9498AF77"/>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B8D2C5C6"/>
    <w:multiLevelType w:val="multilevel"/>
    <w:tmpl w:val="B8D2C5C6"/>
    <w:lvl w:ilvl="0" w:tentative="0">
      <w:start w:val="1"/>
      <w:numFmt w:val="decimal"/>
      <w:lvlText w:val="%1."/>
      <w:lvlJc w:val="left"/>
      <w:pPr>
        <w:ind w:left="425" w:hanging="425"/>
      </w:pPr>
      <w:rPr>
        <w:rFonts w:hint="default"/>
      </w:rPr>
    </w:lvl>
    <w:lvl w:ilvl="1" w:tentative="0">
      <w:start w:val="1"/>
      <w:numFmt w:val="decimal"/>
      <w:pStyle w:val="16"/>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D184F566"/>
    <w:multiLevelType w:val="multilevel"/>
    <w:tmpl w:val="D184F566"/>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4">
    <w:nsid w:val="13BBDF9B"/>
    <w:multiLevelType w:val="singleLevel"/>
    <w:tmpl w:val="13BBDF9B"/>
    <w:lvl w:ilvl="0" w:tentative="0">
      <w:start w:val="2"/>
      <w:numFmt w:val="chineseCounting"/>
      <w:pStyle w:val="13"/>
      <w:suff w:val="nothing"/>
      <w:lvlText w:val="（%1）"/>
      <w:lvlJc w:val="left"/>
      <w:rPr>
        <w:rFonts w:hint="eastAsia"/>
      </w:rPr>
    </w:lvl>
  </w:abstractNum>
  <w:abstractNum w:abstractNumId="5">
    <w:nsid w:val="183B73D7"/>
    <w:multiLevelType w:val="singleLevel"/>
    <w:tmpl w:val="183B73D7"/>
    <w:lvl w:ilvl="0" w:tentative="0">
      <w:start w:val="2"/>
      <w:numFmt w:val="chineseCounting"/>
      <w:pStyle w:val="14"/>
      <w:suff w:val="nothing"/>
      <w:lvlText w:val="（%1）"/>
      <w:lvlJc w:val="left"/>
      <w:rPr>
        <w:rFonts w:hint="eastAsia"/>
      </w:rPr>
    </w:lvl>
  </w:abstractNum>
  <w:abstractNum w:abstractNumId="6">
    <w:nsid w:val="2A6D4AC3"/>
    <w:multiLevelType w:val="singleLevel"/>
    <w:tmpl w:val="2A6D4AC3"/>
    <w:lvl w:ilvl="0" w:tentative="0">
      <w:start w:val="2"/>
      <w:numFmt w:val="chineseCounting"/>
      <w:pStyle w:val="15"/>
      <w:suff w:val="nothing"/>
      <w:lvlText w:val="（%1）"/>
      <w:lvlJc w:val="left"/>
      <w:rPr>
        <w:rFonts w:hint="eastAsia"/>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ZGY0Y2ZhNDM0MWFjOTI3OGJmYzFhYjJhNTE4YzUifQ=="/>
  </w:docVars>
  <w:rsids>
    <w:rsidRoot w:val="00172A27"/>
    <w:rsid w:val="0C341448"/>
    <w:rsid w:val="0C705859"/>
    <w:rsid w:val="179F7572"/>
    <w:rsid w:val="1DF51329"/>
    <w:rsid w:val="2E3755D9"/>
    <w:rsid w:val="2FBE5168"/>
    <w:rsid w:val="368F6420"/>
    <w:rsid w:val="379D15D1"/>
    <w:rsid w:val="3FC84615"/>
    <w:rsid w:val="52935E7B"/>
    <w:rsid w:val="67177E44"/>
    <w:rsid w:val="6B4E3852"/>
    <w:rsid w:val="6F6B44EF"/>
    <w:rsid w:val="74E2064C"/>
    <w:rsid w:val="7BD3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semiHidden/>
    <w:unhideWhenUsed/>
    <w:qFormat/>
    <w:uiPriority w:val="0"/>
    <w:pPr>
      <w:keepNext/>
      <w:keepLines/>
      <w:numPr>
        <w:ilvl w:val="1"/>
        <w:numId w:val="2"/>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2"/>
      </w:numPr>
      <w:adjustRightInd w:val="0"/>
      <w:snapToGrid w:val="0"/>
      <w:spacing w:before="120" w:beforeLines="0" w:beforeAutospacing="0" w:after="120" w:afterLines="0" w:afterAutospacing="0" w:line="360" w:lineRule="auto"/>
      <w:jc w:val="left"/>
      <w:outlineLvl w:val="2"/>
    </w:pPr>
    <w:rPr>
      <w:rFonts w:ascii="Times New Roman" w:hAnsi="Times New Roman" w:eastAsia="黑体" w:cs="Times New Roman"/>
      <w:b/>
      <w:sz w:val="30"/>
    </w:rPr>
  </w:style>
  <w:style w:type="paragraph" w:styleId="5">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13">
    <w:name w:val="一级标题（新）"/>
    <w:basedOn w:val="1"/>
    <w:uiPriority w:val="0"/>
    <w:pPr>
      <w:numPr>
        <w:ilvl w:val="0"/>
        <w:numId w:val="3"/>
      </w:numPr>
      <w:spacing w:before="100" w:beforeLines="100" w:after="100" w:afterLines="100"/>
      <w:ind w:firstLine="357"/>
      <w:jc w:val="center"/>
      <w:outlineLvl w:val="0"/>
    </w:pPr>
    <w:rPr>
      <w:rFonts w:hint="eastAsia" w:ascii="Times New Roman" w:hAnsi="Times New Roman" w:eastAsia="黑体" w:cs="Times New Roman"/>
      <w:bCs/>
      <w:sz w:val="44"/>
    </w:rPr>
  </w:style>
  <w:style w:type="paragraph" w:customStyle="1" w:styleId="14">
    <w:name w:val="二级标题（新）"/>
    <w:basedOn w:val="1"/>
    <w:uiPriority w:val="0"/>
    <w:pPr>
      <w:numPr>
        <w:ilvl w:val="0"/>
        <w:numId w:val="4"/>
      </w:numPr>
      <w:spacing w:before="100" w:beforeLines="100" w:after="100" w:afterLines="100"/>
      <w:ind w:firstLine="357"/>
      <w:jc w:val="left"/>
      <w:outlineLvl w:val="1"/>
    </w:pPr>
    <w:rPr>
      <w:rFonts w:hint="eastAsia" w:ascii="Times New Roman" w:hAnsi="Times New Roman" w:eastAsia="黑体" w:cs="Times New Roman"/>
      <w:bCs/>
      <w:sz w:val="32"/>
    </w:rPr>
  </w:style>
  <w:style w:type="paragraph" w:customStyle="1" w:styleId="15">
    <w:name w:val="三级标题（新）"/>
    <w:basedOn w:val="1"/>
    <w:qFormat/>
    <w:uiPriority w:val="0"/>
    <w:pPr>
      <w:numPr>
        <w:ilvl w:val="0"/>
        <w:numId w:val="5"/>
      </w:numPr>
      <w:spacing w:before="50" w:beforeLines="50" w:after="50" w:afterLines="50"/>
      <w:ind w:firstLine="357"/>
      <w:jc w:val="left"/>
      <w:outlineLvl w:val="2"/>
    </w:pPr>
    <w:rPr>
      <w:rFonts w:hint="eastAsia" w:ascii="Times New Roman" w:hAnsi="Times New Roman" w:eastAsia="黑体" w:cs="Times New Roman"/>
      <w:bCs/>
      <w:sz w:val="30"/>
    </w:rPr>
  </w:style>
  <w:style w:type="paragraph" w:customStyle="1" w:styleId="16">
    <w:name w:val="一级目录（材料）"/>
    <w:basedOn w:val="1"/>
    <w:next w:val="1"/>
    <w:uiPriority w:val="0"/>
    <w:pPr>
      <w:numPr>
        <w:ilvl w:val="1"/>
        <w:numId w:val="6"/>
      </w:numPr>
      <w:tabs>
        <w:tab w:val="left" w:pos="0"/>
      </w:tabs>
      <w:spacing w:before="120" w:after="120" w:line="480" w:lineRule="auto"/>
      <w:ind w:left="573" w:rightChars="100" w:hanging="573"/>
      <w:jc w:val="left"/>
      <w:outlineLvl w:val="1"/>
    </w:pPr>
    <w:rPr>
      <w:rFonts w:hint="eastAsia" w:ascii="Arial" w:hAnsi="Arial" w:eastAsia="宋体" w:cs="Times New Roman"/>
      <w:b/>
      <w:sz w:val="32"/>
      <w:szCs w:val="32"/>
    </w:rPr>
  </w:style>
  <w:style w:type="paragraph" w:customStyle="1" w:styleId="17">
    <w:name w:val="一级目录"/>
    <w:basedOn w:val="1"/>
    <w:uiPriority w:val="0"/>
    <w:pPr>
      <w:numPr>
        <w:ilvl w:val="1"/>
        <w:numId w:val="7"/>
      </w:numPr>
      <w:tabs>
        <w:tab w:val="left" w:pos="0"/>
      </w:tabs>
      <w:spacing w:before="120" w:after="120" w:line="480" w:lineRule="auto"/>
      <w:ind w:left="573" w:rightChars="100" w:hanging="573"/>
      <w:jc w:val="left"/>
      <w:outlineLvl w:val="1"/>
    </w:pPr>
    <w:rPr>
      <w:rFonts w:hint="eastAsia" w:ascii="Arial" w:hAnsi="Arial" w:eastAsia="宋体" w:cs="Times New Roman"/>
      <w:b/>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凌动</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2023-06-06T13:04:00Z</dcterms:created>
  <dc:creator>演示人</dc:creator>
  <cp:lastModifiedBy>演示人</cp:lastModifiedBy>
  <dcterms:modified xsi:type="dcterms:W3CDTF">2023-06-06T13:04:36Z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05D1B502C76C4A29ACB5DE3155FCC413_11</vt:lpwstr>
  </property>
</Properties>
</file>