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7" w:beforeAutospacing="0" w:after="0" w:afterAutospacing="0"/>
        <w:ind w:left="63" w:right="0"/>
        <w:jc w:val="left"/>
        <w:textAlignment w:val="baseline"/>
        <w:rPr>
          <w:rFonts w:hint="eastAsia" w:ascii="黑体" w:hAnsi="宋体" w:eastAsia="黑体" w:cs="黑体"/>
          <w:color w:val="000000"/>
          <w:sz w:val="40"/>
          <w:szCs w:val="40"/>
        </w:rPr>
      </w:pPr>
      <w:r>
        <w:rPr>
          <w:rFonts w:hint="eastAsia" w:ascii="黑体" w:hAnsi="宋体" w:eastAsia="黑体" w:cs="黑体"/>
          <w:snapToGrid/>
          <w:color w:val="000000"/>
          <w:spacing w:val="-8"/>
          <w:kern w:val="0"/>
          <w:sz w:val="40"/>
          <w:szCs w:val="4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tabs>
          <w:tab w:val="left" w:pos="233"/>
          <w:tab w:val="center" w:pos="4219"/>
        </w:tabs>
        <w:kinsoku w:val="0"/>
        <w:autoSpaceDE w:val="0"/>
        <w:autoSpaceDN w:val="0"/>
        <w:adjustRightInd w:val="0"/>
        <w:snapToGrid w:val="0"/>
        <w:spacing w:before="103" w:beforeAutospacing="0" w:after="0" w:afterAutospacing="0"/>
        <w:ind w:left="7740" w:leftChars="0" w:right="0" w:hanging="7740" w:hangingChars="3684"/>
        <w:jc w:val="left"/>
        <w:textAlignment w:val="baseline"/>
        <w:rPr>
          <w:rFonts w:hint="eastAsia" w:ascii="黑体" w:hAnsi="黑体" w:eastAsia="黑体" w:cs="黑体"/>
          <w:b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cs="Times New Roman"/>
          <w:b/>
          <w:snapToGrid/>
          <w:color w:val="000000"/>
          <w:kern w:val="0"/>
          <w:sz w:val="21"/>
          <w:szCs w:val="21"/>
          <w:lang w:val="en-US" w:eastAsia="zh" w:bidi="ar"/>
        </w:rPr>
        <w:tab/>
      </w:r>
      <w:r>
        <w:rPr>
          <w:rFonts w:hint="eastAsia" w:ascii="Times New Roman" w:cs="Times New Roman"/>
          <w:b/>
          <w:snapToGrid/>
          <w:color w:val="000000"/>
          <w:kern w:val="0"/>
          <w:sz w:val="21"/>
          <w:szCs w:val="21"/>
          <w:lang w:val="en-US" w:eastAsia="zh" w:bidi="ar"/>
        </w:rPr>
        <w:t xml:space="preserve">                                 </w:t>
      </w:r>
      <w:r>
        <w:rPr>
          <w:rFonts w:hint="eastAsia" w:ascii="Times New Roman" w:cs="Times New Roman"/>
          <w:b/>
          <w:snapToGrid/>
          <w:color w:val="000000"/>
          <w:kern w:val="0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Times New Roman" w:cs="Times New Roman"/>
          <w:b/>
          <w:snapToGrid/>
          <w:color w:val="000000"/>
          <w:kern w:val="0"/>
          <w:sz w:val="21"/>
          <w:szCs w:val="21"/>
          <w:lang w:val="en-US" w:eastAsia="zh" w:bidi="ar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snapToGrid/>
          <w:color w:val="000000"/>
          <w:kern w:val="0"/>
          <w:sz w:val="22"/>
          <w:szCs w:val="22"/>
          <w:lang w:val="en-US" w:eastAsia="zh" w:bidi="ar"/>
        </w:rPr>
        <w:t xml:space="preserve"> </w:t>
      </w:r>
      <w:r>
        <w:rPr>
          <w:rFonts w:hint="eastAsia" w:ascii="黑体" w:hAnsi="黑体" w:eastAsia="黑体" w:cs="黑体"/>
          <w:b/>
          <w:snapToGrid/>
          <w:color w:val="000000"/>
          <w:kern w:val="0"/>
          <w:sz w:val="44"/>
          <w:szCs w:val="44"/>
          <w:lang w:val="en-US" w:eastAsia="zh-CN" w:bidi="ar"/>
        </w:rPr>
        <w:t>2024年度第一批二星级绿色建筑标识项目</w:t>
      </w:r>
      <w:bookmarkEnd w:id="0"/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3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eastAsia="等线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pPr w:leftFromText="180" w:rightFromText="180" w:vertAnchor="text" w:horzAnchor="page" w:tblpX="1408" w:tblpY="233"/>
        <w:tblOverlap w:val="never"/>
        <w:tblW w:w="208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714"/>
        <w:gridCol w:w="1021"/>
        <w:gridCol w:w="795"/>
        <w:gridCol w:w="541"/>
        <w:gridCol w:w="759"/>
        <w:gridCol w:w="600"/>
        <w:gridCol w:w="900"/>
        <w:gridCol w:w="1190"/>
        <w:gridCol w:w="633"/>
        <w:gridCol w:w="742"/>
        <w:gridCol w:w="635"/>
        <w:gridCol w:w="1734"/>
        <w:gridCol w:w="683"/>
        <w:gridCol w:w="917"/>
        <w:gridCol w:w="916"/>
        <w:gridCol w:w="1217"/>
        <w:gridCol w:w="1017"/>
        <w:gridCol w:w="883"/>
        <w:gridCol w:w="1717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申报单位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认定标准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标识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星级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所在地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建筑类型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项目申报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（万</w:t>
            </w:r>
            <w:r>
              <w:rPr>
                <w:rFonts w:hint="default" w:ascii="Times New Roman" w:hAnsi="Times New Roman" w:eastAsia="等线" w:cs="Times New Roman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等线" w:cs="Times New Roman"/>
                <w:b/>
                <w:snapToGrid/>
                <w:color w:val="000000"/>
                <w:kern w:val="0"/>
                <w:position w:val="6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478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560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关键技术指标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建筑运行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28"/>
                <w:kern w:val="0"/>
                <w:sz w:val="20"/>
                <w:szCs w:val="20"/>
                <w:lang w:val="en-US" w:eastAsia="zh-CN" w:bidi="ar"/>
              </w:rPr>
              <w:t>阶段碳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排放强度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围护结构热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工性能（或建筑供暖空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9"/>
                <w:kern w:val="0"/>
                <w:sz w:val="20"/>
                <w:szCs w:val="20"/>
                <w:lang w:val="en-US" w:eastAsia="zh-CN" w:bidi="ar"/>
              </w:rPr>
              <w:t>调负荷）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严寒和寒冷地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区住宅建筑外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窗传热系数降低比例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节水器具用水效率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等级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建筑隔声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性能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室内主要空气污染物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浓度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外窗气密、水密、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抗风压性能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全装修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绿地率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年径流总量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控制率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可再生能源利用率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非传统水源利用率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绿色建材应用比例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内蒙古阿拉善电业局生产调度楼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内蒙古电力（集团）有限责任公司阿拉善供电分公司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《绿色建筑评价标准》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DB15/T2817-2022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★★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内蒙古自治区阿拉善左旗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公共建筑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.83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50.23kgCO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position w:val="-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position w:val="5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•a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建筑供暖空调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负荷降低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0.80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%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100%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达到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级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构件及相邻房间之间的空气声隔声性能达到现行国家标准《民用建筑隔声设计规范》 GB 50118 中的低限标准限值和高要求标准限值的平均值；楼板撞击声隔声性能达到现行国家标准《民用建筑隔声设计规范》 GB 50118 中高要求标准限值。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比国家标准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GB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/T18883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限值降低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20%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外窗气密、水密、抗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风压性能符合国家标准规定，外窗洞口与外窗本体结合严密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全装修质量符合国家标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准规定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37.80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76.74%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10.00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内蒙古阿拉善电业局运行备班培训综合楼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内蒙古电力（集团）有限责任公司阿拉善供电分公司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《绿色建筑评价标准》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8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DB15/T2817-2022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★★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内蒙古自治区阿拉善左旗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公共建筑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0.96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46.15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kgCO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1"/>
                <w:kern w:val="0"/>
                <w:position w:val="-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position w:val="5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•a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建筑供暖空调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负荷降低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10.38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%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100%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达到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4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级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构件及相邻房间之间的空气声隔声性能达到现行国家标准《民用建筑隔声设计规范》 GB 50118 中的低限标准限值和高要求标准限值的平均值；楼板的撞击声隔声性能达到现行国家标准《民用建筑隔声设计规范》 GB 50118 中高要求标准限值。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比国家标准G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5"/>
                <w:kern w:val="0"/>
                <w:sz w:val="20"/>
                <w:szCs w:val="20"/>
                <w:lang w:val="en-US" w:eastAsia="zh-CN" w:bidi="ar"/>
              </w:rPr>
              <w:t>/T18883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限值降低</w:t>
            </w: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20%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0"/>
                <w:szCs w:val="20"/>
                <w:lang w:val="en-US" w:eastAsia="zh-CN" w:bidi="ar"/>
              </w:rPr>
              <w:t>外窗气密、水密、抗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0"/>
                <w:szCs w:val="20"/>
                <w:lang w:val="en-US" w:eastAsia="zh-CN" w:bidi="ar"/>
              </w:rPr>
              <w:t>风压性能符合国家标准规定，外窗洞口与外窗本体结合严密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全装修质量符合国家标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0"/>
                <w:szCs w:val="20"/>
                <w:lang w:val="en-US" w:eastAsia="zh-CN" w:bidi="ar"/>
              </w:rPr>
              <w:t>准规定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zh-CN" w:bidi="ar"/>
              </w:rPr>
              <w:t>40.25%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3"/>
                <w:kern w:val="0"/>
                <w:position w:val="-1"/>
                <w:sz w:val="20"/>
                <w:szCs w:val="20"/>
                <w:lang w:val="en-US" w:eastAsia="zh-CN" w:bidi="ar"/>
              </w:rPr>
              <w:t>30.73%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等线" w:cs="Times New Roman"/>
                <w:snapToGrid/>
                <w:color w:val="000000"/>
                <w:kern w:val="0"/>
                <w:position w:val="1"/>
                <w:sz w:val="20"/>
                <w:szCs w:val="20"/>
                <w:lang w:val="en-US" w:eastAsia="zh-CN" w:bidi="ar"/>
              </w:rPr>
              <w:t>.00%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cf4c97c2-694b-4023-a31b-82ae5d0d4ca0"/>
  </w:docVars>
  <w:rsids>
    <w:rsidRoot w:val="3C9D6DC6"/>
    <w:rsid w:val="3C9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basedOn w:val="3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858</Characters>
  <Lines>0</Lines>
  <Paragraphs>0</Paragraphs>
  <TotalTime>5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2024-08-15T09:23:00Z</dcterms:created>
  <dc:creator>嗯</dc:creator>
  <cp:lastModifiedBy>嗯</cp:lastModifiedBy>
  <dcterms:modified xsi:type="dcterms:W3CDTF">2024-08-15T09:32:29Z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8D8F12E1F1194644A9EC7BEBBB6D28C8_11</vt:lpwstr>
  </property>
</Properties>
</file>