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AF29C">
      <w:pPr>
        <w:jc w:val="both"/>
        <w:rPr>
          <w:rFonts w:hint="eastAsia" w:ascii="黑体" w:hAnsi="黑体" w:eastAsia="黑体" w:cs="黑体"/>
          <w:b w:val="0"/>
          <w:bCs w:val="0"/>
          <w:sz w:val="28"/>
          <w:szCs w:val="28"/>
          <w:lang w:val="en-US" w:eastAsia="zh-CN"/>
        </w:rPr>
      </w:pPr>
      <w:bookmarkStart w:id="0" w:name="_GoBack"/>
      <w:bookmarkEnd w:id="0"/>
      <w:r>
        <w:rPr>
          <w:rFonts w:hint="eastAsia" w:ascii="黑体" w:hAnsi="黑体" w:eastAsia="黑体" w:cs="黑体"/>
          <w:b w:val="0"/>
          <w:bCs w:val="0"/>
          <w:sz w:val="28"/>
          <w:szCs w:val="28"/>
          <w:lang w:val="en-US" w:eastAsia="zh-CN"/>
        </w:rPr>
        <w:t>附件</w:t>
      </w:r>
    </w:p>
    <w:p w14:paraId="3DD2C455">
      <w:pPr>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评分标准</w:t>
      </w:r>
    </w:p>
    <w:tbl>
      <w:tblPr>
        <w:tblStyle w:val="5"/>
        <w:tblW w:w="9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1535"/>
        <w:gridCol w:w="6587"/>
      </w:tblGrid>
      <w:tr w14:paraId="3539B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2" w:type="dxa"/>
            <w:vAlign w:val="center"/>
          </w:tcPr>
          <w:p w14:paraId="1AF38D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sz w:val="20"/>
                <w:szCs w:val="20"/>
              </w:rPr>
              <w:t>分值构成</w:t>
            </w:r>
          </w:p>
        </w:tc>
        <w:tc>
          <w:tcPr>
            <w:tcW w:w="8122" w:type="dxa"/>
            <w:gridSpan w:val="2"/>
          </w:tcPr>
          <w:p w14:paraId="202D013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技术部分</w:t>
            </w:r>
            <w:r>
              <w:rPr>
                <w:rFonts w:hint="eastAsia" w:asciiTheme="minorEastAsia" w:hAnsiTheme="minorEastAsia" w:cstheme="minorEastAsia"/>
                <w:i w:val="0"/>
                <w:iCs w:val="0"/>
                <w:caps w:val="0"/>
                <w:color w:val="000000"/>
                <w:spacing w:val="0"/>
                <w:sz w:val="20"/>
                <w:szCs w:val="20"/>
                <w:vertAlign w:val="baseline"/>
                <w:lang w:val="en-US" w:eastAsia="zh-CN"/>
              </w:rPr>
              <w:t>30</w:t>
            </w: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.0分</w:t>
            </w:r>
          </w:p>
          <w:p w14:paraId="34FBF43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商务部分</w:t>
            </w:r>
            <w:r>
              <w:rPr>
                <w:rFonts w:hint="eastAsia" w:asciiTheme="minorEastAsia" w:hAnsiTheme="minorEastAsia" w:cstheme="minorEastAsia"/>
                <w:i w:val="0"/>
                <w:iCs w:val="0"/>
                <w:caps w:val="0"/>
                <w:color w:val="000000"/>
                <w:spacing w:val="0"/>
                <w:sz w:val="20"/>
                <w:szCs w:val="20"/>
                <w:vertAlign w:val="baseline"/>
                <w:lang w:val="en-US" w:eastAsia="zh-CN"/>
              </w:rPr>
              <w:t>50</w:t>
            </w: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.0分</w:t>
            </w:r>
          </w:p>
          <w:p w14:paraId="23DEA89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报价得分20.0分</w:t>
            </w:r>
          </w:p>
        </w:tc>
      </w:tr>
      <w:tr w14:paraId="6FF1F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2" w:type="dxa"/>
            <w:vMerge w:val="restart"/>
            <w:vAlign w:val="center"/>
          </w:tcPr>
          <w:p w14:paraId="2A2A94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sz w:val="20"/>
                <w:szCs w:val="20"/>
              </w:rPr>
              <w:t>技术部分</w:t>
            </w:r>
          </w:p>
        </w:tc>
        <w:tc>
          <w:tcPr>
            <w:tcW w:w="1535" w:type="dxa"/>
            <w:vAlign w:val="center"/>
          </w:tcPr>
          <w:p w14:paraId="76E7A3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服务方案</w:t>
            </w:r>
          </w:p>
          <w:p w14:paraId="538801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（20）</w:t>
            </w:r>
          </w:p>
        </w:tc>
        <w:tc>
          <w:tcPr>
            <w:tcW w:w="6587" w:type="dxa"/>
          </w:tcPr>
          <w:p w14:paraId="36B2F32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服务方案,标准如下：</w:t>
            </w:r>
          </w:p>
          <w:p w14:paraId="106F8A4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1.服务方案的详细性，针对性强，操作性强，内容具体，能充分本项目的要求，提出行之有效的措施。好的得4-8分，一般的得0-4分；</w:t>
            </w:r>
          </w:p>
          <w:p w14:paraId="0544D74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2.工作流程的完整性。好的得3-6分，一般的得0-3分；</w:t>
            </w:r>
          </w:p>
          <w:p w14:paraId="3A0E235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3.对本项目的理解和科学合理的分析重点难点的，好的得3-6分，一般的得0-3分；</w:t>
            </w:r>
          </w:p>
        </w:tc>
      </w:tr>
      <w:tr w14:paraId="0C0F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2" w:type="dxa"/>
            <w:vMerge w:val="continue"/>
            <w:vAlign w:val="center"/>
          </w:tcPr>
          <w:p w14:paraId="56CD4B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rPr>
            </w:pPr>
          </w:p>
        </w:tc>
        <w:tc>
          <w:tcPr>
            <w:tcW w:w="1535" w:type="dxa"/>
            <w:vAlign w:val="center"/>
          </w:tcPr>
          <w:p w14:paraId="40EAFA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服务承诺</w:t>
            </w:r>
          </w:p>
          <w:p w14:paraId="492555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w:t>
            </w:r>
            <w:r>
              <w:rPr>
                <w:rFonts w:hint="eastAsia" w:asciiTheme="minorEastAsia" w:hAnsiTheme="minorEastAsia" w:cstheme="minorEastAsia"/>
                <w:i w:val="0"/>
                <w:iCs w:val="0"/>
                <w:caps w:val="0"/>
                <w:color w:val="000000"/>
                <w:spacing w:val="0"/>
                <w:sz w:val="20"/>
                <w:szCs w:val="20"/>
                <w:vertAlign w:val="baseline"/>
                <w:lang w:val="en-US" w:eastAsia="zh-CN"/>
              </w:rPr>
              <w:t>10</w:t>
            </w: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w:t>
            </w:r>
          </w:p>
        </w:tc>
        <w:tc>
          <w:tcPr>
            <w:tcW w:w="6587" w:type="dxa"/>
          </w:tcPr>
          <w:p w14:paraId="390DAD4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服务承诺、</w:t>
            </w:r>
            <w:r>
              <w:rPr>
                <w:rFonts w:hint="eastAsia" w:asciiTheme="minorEastAsia" w:hAnsiTheme="minorEastAsia" w:cstheme="minorEastAsia"/>
                <w:i w:val="0"/>
                <w:iCs w:val="0"/>
                <w:caps w:val="0"/>
                <w:color w:val="000000"/>
                <w:spacing w:val="0"/>
                <w:sz w:val="20"/>
                <w:szCs w:val="20"/>
                <w:vertAlign w:val="baseline"/>
                <w:lang w:val="en-US" w:eastAsia="zh-CN"/>
              </w:rPr>
              <w:t>管理制度</w:t>
            </w: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,标准如下：</w:t>
            </w:r>
          </w:p>
          <w:p w14:paraId="2530797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1.服务承诺内容完整、详实，好的得</w:t>
            </w:r>
            <w:r>
              <w:rPr>
                <w:rFonts w:hint="eastAsia" w:asciiTheme="minorEastAsia" w:hAnsiTheme="minorEastAsia" w:cstheme="minorEastAsia"/>
                <w:i w:val="0"/>
                <w:iCs w:val="0"/>
                <w:caps w:val="0"/>
                <w:color w:val="000000"/>
                <w:spacing w:val="0"/>
                <w:sz w:val="20"/>
                <w:szCs w:val="20"/>
                <w:vertAlign w:val="baseline"/>
                <w:lang w:val="en-US" w:eastAsia="zh-CN"/>
              </w:rPr>
              <w:t>2</w:t>
            </w: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w:t>
            </w:r>
            <w:r>
              <w:rPr>
                <w:rFonts w:hint="eastAsia" w:asciiTheme="minorEastAsia" w:hAnsiTheme="minorEastAsia" w:cstheme="minorEastAsia"/>
                <w:i w:val="0"/>
                <w:iCs w:val="0"/>
                <w:caps w:val="0"/>
                <w:color w:val="000000"/>
                <w:spacing w:val="0"/>
                <w:sz w:val="20"/>
                <w:szCs w:val="20"/>
                <w:vertAlign w:val="baseline"/>
                <w:lang w:val="en-US" w:eastAsia="zh-CN"/>
              </w:rPr>
              <w:t>5</w:t>
            </w: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分，一般的得0-</w:t>
            </w:r>
            <w:r>
              <w:rPr>
                <w:rFonts w:hint="eastAsia" w:asciiTheme="minorEastAsia" w:hAnsiTheme="minorEastAsia" w:cstheme="minorEastAsia"/>
                <w:i w:val="0"/>
                <w:iCs w:val="0"/>
                <w:caps w:val="0"/>
                <w:color w:val="000000"/>
                <w:spacing w:val="0"/>
                <w:sz w:val="20"/>
                <w:szCs w:val="20"/>
                <w:vertAlign w:val="baseline"/>
                <w:lang w:val="en-US" w:eastAsia="zh-CN"/>
              </w:rPr>
              <w:t>2</w:t>
            </w: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分；</w:t>
            </w:r>
          </w:p>
          <w:p w14:paraId="306B558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2.</w:t>
            </w:r>
            <w:r>
              <w:rPr>
                <w:rFonts w:hint="eastAsia" w:asciiTheme="minorEastAsia" w:hAnsiTheme="minorEastAsia" w:cstheme="minorEastAsia"/>
                <w:i w:val="0"/>
                <w:iCs w:val="0"/>
                <w:caps w:val="0"/>
                <w:color w:val="000000"/>
                <w:spacing w:val="0"/>
                <w:sz w:val="20"/>
                <w:szCs w:val="20"/>
                <w:vertAlign w:val="baseline"/>
                <w:lang w:val="en-US" w:eastAsia="zh-CN"/>
              </w:rPr>
              <w:t>管理制度是否完善</w:t>
            </w: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，好的得</w:t>
            </w:r>
            <w:r>
              <w:rPr>
                <w:rFonts w:hint="eastAsia" w:asciiTheme="minorEastAsia" w:hAnsiTheme="minorEastAsia" w:cstheme="minorEastAsia"/>
                <w:i w:val="0"/>
                <w:iCs w:val="0"/>
                <w:caps w:val="0"/>
                <w:color w:val="000000"/>
                <w:spacing w:val="0"/>
                <w:sz w:val="20"/>
                <w:szCs w:val="20"/>
                <w:vertAlign w:val="baseline"/>
                <w:lang w:val="en-US" w:eastAsia="zh-CN"/>
              </w:rPr>
              <w:t>2-5</w:t>
            </w: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分，一般的得0-</w:t>
            </w:r>
            <w:r>
              <w:rPr>
                <w:rFonts w:hint="eastAsia" w:asciiTheme="minorEastAsia" w:hAnsiTheme="minorEastAsia" w:cstheme="minorEastAsia"/>
                <w:i w:val="0"/>
                <w:iCs w:val="0"/>
                <w:caps w:val="0"/>
                <w:color w:val="000000"/>
                <w:spacing w:val="0"/>
                <w:sz w:val="20"/>
                <w:szCs w:val="20"/>
                <w:vertAlign w:val="baseline"/>
                <w:lang w:val="en-US" w:eastAsia="zh-CN"/>
              </w:rPr>
              <w:t>2</w:t>
            </w: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分；</w:t>
            </w:r>
          </w:p>
        </w:tc>
      </w:tr>
      <w:tr w14:paraId="3ED1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2" w:type="dxa"/>
            <w:vMerge w:val="restart"/>
            <w:vAlign w:val="center"/>
          </w:tcPr>
          <w:p w14:paraId="706C93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商务部分</w:t>
            </w:r>
          </w:p>
        </w:tc>
        <w:tc>
          <w:tcPr>
            <w:tcW w:w="1535" w:type="dxa"/>
            <w:vAlign w:val="center"/>
          </w:tcPr>
          <w:p w14:paraId="6AD7F2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人员配备</w:t>
            </w:r>
          </w:p>
          <w:p w14:paraId="1AF8B6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（10）</w:t>
            </w:r>
          </w:p>
        </w:tc>
        <w:tc>
          <w:tcPr>
            <w:tcW w:w="6587" w:type="dxa"/>
          </w:tcPr>
          <w:p w14:paraId="3A120D1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1）拟派本项目执行团队同时具备招标代理和政府采购资格证书的在5人（含）以上的得3分；</w:t>
            </w:r>
          </w:p>
          <w:p w14:paraId="1E5B416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2）拟派本项目负责人具备水利相关专业高级职称得2分；</w:t>
            </w:r>
          </w:p>
          <w:p w14:paraId="4E95870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3）拟派本项目执行团队除项目负责人以外每有一人具备水利相关专业高级职称得1分，水利相关专业中级职称得0.5分，本项最多得5分。</w:t>
            </w:r>
          </w:p>
        </w:tc>
      </w:tr>
      <w:tr w14:paraId="5B4AA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3" w:hRule="atLeast"/>
          <w:jc w:val="center"/>
        </w:trPr>
        <w:tc>
          <w:tcPr>
            <w:tcW w:w="1592" w:type="dxa"/>
            <w:vMerge w:val="continue"/>
            <w:vAlign w:val="center"/>
          </w:tcPr>
          <w:p w14:paraId="154ADF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rPr>
            </w:pPr>
          </w:p>
        </w:tc>
        <w:tc>
          <w:tcPr>
            <w:tcW w:w="1535" w:type="dxa"/>
            <w:vAlign w:val="center"/>
          </w:tcPr>
          <w:p w14:paraId="6E4805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cstheme="minorEastAsia"/>
                <w:i w:val="0"/>
                <w:iCs w:val="0"/>
                <w:caps w:val="0"/>
                <w:color w:val="000000"/>
                <w:spacing w:val="0"/>
                <w:sz w:val="20"/>
                <w:szCs w:val="20"/>
                <w:vertAlign w:val="baseline"/>
                <w:lang w:val="en-US" w:eastAsia="zh-CN"/>
              </w:rPr>
              <w:t>市场</w:t>
            </w: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业绩</w:t>
            </w:r>
          </w:p>
          <w:p w14:paraId="34AE52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w:t>
            </w:r>
            <w:r>
              <w:rPr>
                <w:rFonts w:hint="eastAsia" w:asciiTheme="minorEastAsia" w:hAnsiTheme="minorEastAsia" w:cstheme="minorEastAsia"/>
                <w:i w:val="0"/>
                <w:iCs w:val="0"/>
                <w:caps w:val="0"/>
                <w:color w:val="000000"/>
                <w:spacing w:val="0"/>
                <w:sz w:val="20"/>
                <w:szCs w:val="20"/>
                <w:vertAlign w:val="baseline"/>
                <w:lang w:val="en-US" w:eastAsia="zh-CN"/>
              </w:rPr>
              <w:t>30</w:t>
            </w: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w:t>
            </w:r>
          </w:p>
        </w:tc>
        <w:tc>
          <w:tcPr>
            <w:tcW w:w="6587" w:type="dxa"/>
          </w:tcPr>
          <w:p w14:paraId="26D2243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1）代理机构近三年（202</w:t>
            </w:r>
            <w:r>
              <w:rPr>
                <w:rFonts w:hint="eastAsia" w:asciiTheme="minorEastAsia" w:hAnsiTheme="minorEastAsia" w:cstheme="minorEastAsia"/>
                <w:i w:val="0"/>
                <w:iCs w:val="0"/>
                <w:caps w:val="0"/>
                <w:color w:val="000000"/>
                <w:spacing w:val="0"/>
                <w:sz w:val="20"/>
                <w:szCs w:val="20"/>
                <w:vertAlign w:val="baseline"/>
                <w:lang w:val="en-US" w:eastAsia="zh-CN"/>
              </w:rPr>
              <w:t>2</w:t>
            </w: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年1月1日至今）代理过同类项目（同类项目指：水文水资源项目工程建设或设备采购或服务采购等）：有一项得2分，最多得</w:t>
            </w:r>
            <w:r>
              <w:rPr>
                <w:rFonts w:hint="eastAsia" w:asciiTheme="minorEastAsia" w:hAnsiTheme="minorEastAsia" w:cstheme="minorEastAsia"/>
                <w:i w:val="0"/>
                <w:iCs w:val="0"/>
                <w:caps w:val="0"/>
                <w:color w:val="000000"/>
                <w:spacing w:val="0"/>
                <w:sz w:val="20"/>
                <w:szCs w:val="20"/>
                <w:vertAlign w:val="baseline"/>
                <w:lang w:val="en-US" w:eastAsia="zh-CN"/>
              </w:rPr>
              <w:t>30</w:t>
            </w: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分。（附中标通知书、代理合同以及相关网站的中标结果公告（或中标公示））截图（注：相关网站指国家指定媒介或各地方交易中心网站或各地方政府采购网站或各地方政府网站）。</w:t>
            </w:r>
          </w:p>
          <w:p w14:paraId="334AAD7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2）代理机构近三年（202</w:t>
            </w:r>
            <w:r>
              <w:rPr>
                <w:rFonts w:hint="eastAsia" w:asciiTheme="minorEastAsia" w:hAnsiTheme="minorEastAsia" w:cstheme="minorEastAsia"/>
                <w:i w:val="0"/>
                <w:iCs w:val="0"/>
                <w:caps w:val="0"/>
                <w:color w:val="000000"/>
                <w:spacing w:val="0"/>
                <w:sz w:val="20"/>
                <w:szCs w:val="20"/>
                <w:vertAlign w:val="baseline"/>
                <w:lang w:val="en-US" w:eastAsia="zh-CN"/>
              </w:rPr>
              <w:t>2</w:t>
            </w: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年1月1日至今）代理过类似项目（类似项目指：水利工程项目类似设备采购或服务采购等）：有一项得1分，最多得</w:t>
            </w:r>
            <w:r>
              <w:rPr>
                <w:rFonts w:hint="eastAsia" w:asciiTheme="minorEastAsia" w:hAnsiTheme="minorEastAsia" w:cstheme="minorEastAsia"/>
                <w:i w:val="0"/>
                <w:iCs w:val="0"/>
                <w:caps w:val="0"/>
                <w:color w:val="000000"/>
                <w:spacing w:val="0"/>
                <w:sz w:val="20"/>
                <w:szCs w:val="20"/>
                <w:vertAlign w:val="baseline"/>
                <w:lang w:val="en-US" w:eastAsia="zh-CN"/>
              </w:rPr>
              <w:t>30</w:t>
            </w: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分。（附中标通知书、代理合同以及相关网站的中标结果公告（或中标公示）截图（注：相关网站指国家指定媒介或各地方交易中心网站或各地方政府采购网站或各地方政府网站）。</w:t>
            </w:r>
          </w:p>
          <w:p w14:paraId="35FFF0B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lang w:val="en-US" w:eastAsia="zh-CN"/>
              </w:rPr>
            </w:pPr>
            <w:r>
              <w:rPr>
                <w:rFonts w:hint="eastAsia" w:asciiTheme="minorEastAsia" w:hAnsiTheme="minorEastAsia" w:eastAsiaTheme="minorEastAsia" w:cstheme="minorEastAsia"/>
                <w:b/>
                <w:bCs/>
                <w:i w:val="0"/>
                <w:iCs w:val="0"/>
                <w:caps w:val="0"/>
                <w:color w:val="000000"/>
                <w:spacing w:val="0"/>
                <w:sz w:val="20"/>
                <w:szCs w:val="20"/>
                <w:vertAlign w:val="baseline"/>
                <w:lang w:val="en-US" w:eastAsia="zh-CN"/>
              </w:rPr>
              <w:t>注：本项（市场业绩）最多得</w:t>
            </w:r>
            <w:r>
              <w:rPr>
                <w:rFonts w:hint="eastAsia" w:asciiTheme="minorEastAsia" w:hAnsiTheme="minorEastAsia" w:cstheme="minorEastAsia"/>
                <w:b/>
                <w:bCs/>
                <w:i w:val="0"/>
                <w:iCs w:val="0"/>
                <w:caps w:val="0"/>
                <w:color w:val="000000"/>
                <w:spacing w:val="0"/>
                <w:sz w:val="20"/>
                <w:szCs w:val="20"/>
                <w:vertAlign w:val="baseline"/>
                <w:lang w:val="en-US" w:eastAsia="zh-CN"/>
              </w:rPr>
              <w:t>30</w:t>
            </w:r>
            <w:r>
              <w:rPr>
                <w:rFonts w:hint="eastAsia" w:asciiTheme="minorEastAsia" w:hAnsiTheme="minorEastAsia" w:eastAsiaTheme="minorEastAsia" w:cstheme="minorEastAsia"/>
                <w:b/>
                <w:bCs/>
                <w:i w:val="0"/>
                <w:iCs w:val="0"/>
                <w:caps w:val="0"/>
                <w:color w:val="000000"/>
                <w:spacing w:val="0"/>
                <w:sz w:val="20"/>
                <w:szCs w:val="20"/>
                <w:vertAlign w:val="baseline"/>
                <w:lang w:val="en-US" w:eastAsia="zh-CN"/>
              </w:rPr>
              <w:t>分。</w:t>
            </w:r>
          </w:p>
        </w:tc>
      </w:tr>
      <w:tr w14:paraId="551D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2" w:type="dxa"/>
            <w:vMerge w:val="continue"/>
            <w:vAlign w:val="center"/>
          </w:tcPr>
          <w:p w14:paraId="7CE2CA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Ben</w:t>
            </w:r>
          </w:p>
        </w:tc>
        <w:tc>
          <w:tcPr>
            <w:tcW w:w="1535" w:type="dxa"/>
            <w:vAlign w:val="center"/>
          </w:tcPr>
          <w:p w14:paraId="1F3AE8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本地化服务</w:t>
            </w:r>
          </w:p>
          <w:p w14:paraId="6FC2D6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（5）</w:t>
            </w:r>
          </w:p>
        </w:tc>
        <w:tc>
          <w:tcPr>
            <w:tcW w:w="6587" w:type="dxa"/>
          </w:tcPr>
          <w:p w14:paraId="15C82CF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在本地有固定场所（需提供营业执照或本地房屋租赁合同或房产证），提供开评标场地、监控设施照片，提供齐全的得5分，内容不全不得分；</w:t>
            </w:r>
          </w:p>
        </w:tc>
      </w:tr>
      <w:tr w14:paraId="003C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2" w:type="dxa"/>
            <w:vMerge w:val="continue"/>
            <w:vAlign w:val="center"/>
          </w:tcPr>
          <w:p w14:paraId="1A5B25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rPr>
            </w:pPr>
          </w:p>
        </w:tc>
        <w:tc>
          <w:tcPr>
            <w:tcW w:w="1535" w:type="dxa"/>
            <w:vAlign w:val="center"/>
          </w:tcPr>
          <w:p w14:paraId="37E264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财务状况</w:t>
            </w:r>
          </w:p>
          <w:p w14:paraId="51932D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w:t>
            </w:r>
            <w:r>
              <w:rPr>
                <w:rFonts w:hint="eastAsia" w:asciiTheme="minorEastAsia" w:hAnsiTheme="minorEastAsia" w:cstheme="minorEastAsia"/>
                <w:i w:val="0"/>
                <w:iCs w:val="0"/>
                <w:caps w:val="0"/>
                <w:color w:val="000000"/>
                <w:spacing w:val="0"/>
                <w:sz w:val="20"/>
                <w:szCs w:val="20"/>
                <w:vertAlign w:val="baseline"/>
                <w:lang w:val="en-US" w:eastAsia="zh-CN"/>
              </w:rPr>
              <w:t>5</w:t>
            </w: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w:t>
            </w:r>
          </w:p>
        </w:tc>
        <w:tc>
          <w:tcPr>
            <w:tcW w:w="6587" w:type="dxa"/>
          </w:tcPr>
          <w:p w14:paraId="023BAAA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提供202</w:t>
            </w:r>
            <w:r>
              <w:rPr>
                <w:rFonts w:hint="eastAsia" w:asciiTheme="minorEastAsia" w:hAnsiTheme="minorEastAsia" w:cstheme="minorEastAsia"/>
                <w:i w:val="0"/>
                <w:iCs w:val="0"/>
                <w:caps w:val="0"/>
                <w:color w:val="000000"/>
                <w:spacing w:val="0"/>
                <w:sz w:val="20"/>
                <w:szCs w:val="20"/>
                <w:vertAlign w:val="baseline"/>
                <w:lang w:val="en-US" w:eastAsia="zh-CN"/>
              </w:rPr>
              <w:t>4</w:t>
            </w: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或者202</w:t>
            </w:r>
            <w:r>
              <w:rPr>
                <w:rFonts w:hint="eastAsia" w:asciiTheme="minorEastAsia" w:hAnsiTheme="minorEastAsia" w:cstheme="minorEastAsia"/>
                <w:i w:val="0"/>
                <w:iCs w:val="0"/>
                <w:caps w:val="0"/>
                <w:color w:val="000000"/>
                <w:spacing w:val="0"/>
                <w:sz w:val="20"/>
                <w:szCs w:val="20"/>
                <w:vertAlign w:val="baseline"/>
                <w:lang w:val="en-US" w:eastAsia="zh-CN"/>
              </w:rPr>
              <w:t>3</w:t>
            </w: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年度经审计部门或会计事务所出具的审计报告或公司基本户开户银行出具的资信证明，满足得</w:t>
            </w:r>
            <w:r>
              <w:rPr>
                <w:rFonts w:hint="eastAsia" w:asciiTheme="minorEastAsia" w:hAnsiTheme="minorEastAsia" w:cstheme="minorEastAsia"/>
                <w:i w:val="0"/>
                <w:iCs w:val="0"/>
                <w:caps w:val="0"/>
                <w:color w:val="000000"/>
                <w:spacing w:val="0"/>
                <w:sz w:val="20"/>
                <w:szCs w:val="20"/>
                <w:vertAlign w:val="baseline"/>
                <w:lang w:val="en-US" w:eastAsia="zh-CN"/>
              </w:rPr>
              <w:t>5</w:t>
            </w: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分。（须附原件扫描件）</w:t>
            </w:r>
          </w:p>
        </w:tc>
      </w:tr>
      <w:tr w14:paraId="2F41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2" w:type="dxa"/>
            <w:vAlign w:val="center"/>
          </w:tcPr>
          <w:p w14:paraId="241111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投标报价</w:t>
            </w:r>
          </w:p>
        </w:tc>
        <w:tc>
          <w:tcPr>
            <w:tcW w:w="1535" w:type="dxa"/>
            <w:vAlign w:val="center"/>
          </w:tcPr>
          <w:p w14:paraId="203081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投标报价</w:t>
            </w:r>
          </w:p>
          <w:p w14:paraId="0100B3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(20.0分)</w:t>
            </w:r>
          </w:p>
        </w:tc>
        <w:tc>
          <w:tcPr>
            <w:tcW w:w="6587" w:type="dxa"/>
          </w:tcPr>
          <w:p w14:paraId="0B48A92A">
            <w:pPr>
              <w:keepNext w:val="0"/>
              <w:keepLines w:val="0"/>
              <w:widowControl/>
              <w:suppressLineNumbers w:val="0"/>
              <w:jc w:val="left"/>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cstheme="minorEastAsia"/>
                <w:i w:val="0"/>
                <w:iCs w:val="0"/>
                <w:caps w:val="0"/>
                <w:color w:val="000000"/>
                <w:spacing w:val="0"/>
                <w:sz w:val="20"/>
                <w:szCs w:val="20"/>
                <w:vertAlign w:val="baseline"/>
                <w:lang w:val="en-US" w:eastAsia="zh-CN"/>
              </w:rPr>
              <w:t>依据计价文件规定的标准</w:t>
            </w: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下浮费率报价（保留一位小数，最低下浮率为20%），最低报价者得分最高，高于最低报价的，扣减相应得分，每高1%扣减1分，不足1分的，按插入法计算。</w:t>
            </w:r>
          </w:p>
        </w:tc>
      </w:tr>
    </w:tbl>
    <w:p w14:paraId="28AB63B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E65FD"/>
    <w:rsid w:val="14033485"/>
    <w:rsid w:val="6AAE6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rPr>
      <w:rFonts w:ascii="仿宋_GB2312" w:eastAsia="仿宋_GB2312"/>
      <w:b/>
      <w:szCs w:val="20"/>
      <w:lang w:val="zh-CN"/>
    </w:rPr>
  </w:style>
  <w:style w:type="paragraph" w:styleId="3">
    <w:name w:val="Body Text Indent"/>
    <w:basedOn w:val="1"/>
    <w:next w:val="1"/>
    <w:qFormat/>
    <w:uiPriority w:val="0"/>
    <w:pPr>
      <w:spacing w:after="120" w:afterLines="0"/>
      <w:ind w:left="420" w:left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921</Words>
  <Characters>985</Characters>
  <Lines>0</Lines>
  <Paragraphs>0</Paragraphs>
  <TotalTime>3</TotalTime>
  <ScaleCrop>false</ScaleCrop>
  <LinksUpToDate>false</LinksUpToDate>
  <CharactersWithSpaces>985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2025-01-08T06:53:00Z</dcterms:created>
  <dc:creator>wyd</dc:creator>
  <cp:lastModifiedBy>嬅棠</cp:lastModifiedBy>
  <dcterms:modified xsi:type="dcterms:W3CDTF">2025-01-08T07:22:45Z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AE1F75C921A54FB093F0F282517C43CC_13</vt:lpwstr>
  </property>
  <property fmtid="{D5CDD505-2E9C-101B-9397-08002B2CF9AE}" pid="4" name="KSOTemplateDocerSaveRecord">
    <vt:lpwstr>eyJoZGlkIjoiMjcwZjU5ZTI3ZDIzNTU3ZWM2ZmZiMmM3OTI2ODI2OTIifQ==</vt:lpwstr>
  </property>
</Properties>
</file>