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b/>
          <w:bCs/>
          <w:color w:val="333333"/>
          <w:kern w:val="0"/>
          <w:sz w:val="32"/>
          <w:szCs w:val="32"/>
          <w:bdr w:val="none" w:sz="0" w:space="0" w:color="auto" w:frame="1"/>
        </w:rPr>
        <w:t>附件1</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微软雅黑" w:eastAsia="微软雅黑" w:hAnsi="微软雅黑" w:cs="宋体" w:hint="eastAsia"/>
          <w:color w:val="333333"/>
          <w:kern w:val="0"/>
          <w:sz w:val="32"/>
          <w:szCs w:val="32"/>
          <w:bdr w:val="none" w:sz="0" w:space="0" w:color="auto" w:frame="1"/>
        </w:rPr>
        <w:br/>
      </w:r>
    </w:p>
    <w:p w:rsidR="00747D78" w:rsidRPr="00C24861" w:rsidRDefault="00747D78" w:rsidP="00747D78">
      <w:pPr>
        <w:widowControl/>
        <w:shd w:val="clear" w:color="auto" w:fill="FFFFFF"/>
        <w:spacing w:line="720" w:lineRule="atLeast"/>
        <w:jc w:val="center"/>
        <w:rPr>
          <w:rFonts w:ascii="宋体" w:eastAsia="宋体" w:hAnsi="宋体" w:cs="宋体"/>
          <w:color w:val="333333"/>
          <w:kern w:val="0"/>
          <w:sz w:val="32"/>
          <w:szCs w:val="32"/>
        </w:rPr>
      </w:pPr>
      <w:r w:rsidRPr="00C24861">
        <w:rPr>
          <w:rFonts w:ascii="仿宋" w:eastAsia="仿宋" w:hAnsi="仿宋" w:cs="宋体" w:hint="eastAsia"/>
          <w:b/>
          <w:bCs/>
          <w:color w:val="333333"/>
          <w:kern w:val="0"/>
          <w:sz w:val="32"/>
          <w:szCs w:val="32"/>
          <w:bdr w:val="none" w:sz="0" w:space="0" w:color="auto" w:frame="1"/>
        </w:rPr>
        <w:t>国务院决定修改的行政法规</w:t>
      </w:r>
    </w:p>
    <w:p w:rsidR="00747D78" w:rsidRPr="00C24861" w:rsidRDefault="00747D78" w:rsidP="00747D78">
      <w:pPr>
        <w:widowControl/>
        <w:shd w:val="clear" w:color="auto" w:fill="FFFFFF"/>
        <w:ind w:firstLine="630"/>
        <w:jc w:val="left"/>
        <w:rPr>
          <w:rFonts w:ascii="宋体" w:eastAsia="宋体" w:hAnsi="宋体" w:cs="宋体"/>
          <w:color w:val="333333"/>
          <w:kern w:val="0"/>
          <w:sz w:val="32"/>
          <w:szCs w:val="32"/>
        </w:rPr>
      </w:pP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一、将《医疗器械监督管理条例》第十九条第二款中的“国务院卫生主管部门”修改为“国务院卫生主管部门、国务院疾病预防控制部门”。</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删去第一百零三条中的“计划生育技术服务机构”。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二、将《病原微生物实验室生物安全管理条例》第八条中的“名录”修改为“目录”。</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十五条修改为：“保藏机构应当凭实验室依照本条例的规定取得的从事高致病性病原微生物相关实验活动的批准文件或者设区的市级人民政府卫生主管部门或者兽医主管部门发放的实验室备案凭证，向实验室提供高致病性病原微生物菌（毒）种和样本，并予以登记。”</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第十九条第一款第二项中的“国务院科技主管部门”修改为“国务院卫生主管部门”。</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lastRenderedPageBreak/>
        <w:t>第二十一条修改为：“从事病原微生物实验活动应当在相应级别的实验室进行。实验室从事病原微生物实验活动，其级别应当不低于病原微生物目录规定的该项实验活动所需的实验室级别。</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“一级、二级实验室仅可从事病原微生物目录规定的可以在一级、二级实验室进行的高致病性病原微生物实验活动。三级、四级实验室从事高致病性病原微生物实验活动，应当具备下列条件：</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“（一）实验目的和拟从事的实验活动符合国务院卫生主管部门或者兽医主管部门的规定；</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“（二）通过实验室国家认可；</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“（三）具有与拟从事的实验活动相适应的工作人员；</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“（四）工程质量经建筑主管部门依法检测验收合格。”</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二十二条第一款修改为：“三级、四级实验室，需要从事病原微生物目录规定的应当在三级、四级实验室进行的高致病性病原微生物实验活动或者疑似高致病性病原微生物实验活动的，应当依照国务院卫生主管部门或者兽医主管部门的规定报省级以上人民政府卫生主管部门或者兽医主管部门批准。实验活动结果以及工作情况应当向原批准部门报告。”</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第二十三条第一款修改为：“出入境检验检疫机构、医疗卫生机构、动物疫病预防控制机构在实验室开展检测、诊断工作时，发现高致病性病原微生物或者疑似高致病性病原微生物，需要进</w:t>
      </w:r>
      <w:r w:rsidRPr="00C24861">
        <w:rPr>
          <w:rFonts w:ascii="仿宋" w:eastAsia="仿宋" w:hAnsi="仿宋" w:cs="宋体" w:hint="eastAsia"/>
          <w:color w:val="333333"/>
          <w:kern w:val="0"/>
          <w:sz w:val="32"/>
          <w:szCs w:val="32"/>
          <w:bdr w:val="none" w:sz="0" w:space="0" w:color="auto" w:frame="1"/>
        </w:rPr>
        <w:lastRenderedPageBreak/>
        <w:t>一步从事这类高致病性病原微生物相关实验活动的，应当在具备相应条件的实验室中进行；依照本条例的规定需要经过批准的，应当取得批准。”</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第三十条修改为：“需要在动物体上从事高致病性病原微生物相关实验活动的，应当按照病原微生物目录的规定，在符合动物实验室生物安全国家标准的相应级别的实验室进行。”</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第四十条、第四十五条、第四十八条、第六十条第八项中的“实验室感染应急处置预案”修改为“实验室生物安全事件应急处置预案”。</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第四十六条中的“动物防疫监督机构”修改为“动物疫病预防控制机构”。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五十六条修改为：“三级、四级实验室未经批准从事病原微生物目录规定的应当在三级、四级实验室进行的高致病性病原微生物实验活动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lastRenderedPageBreak/>
        <w:t>第六十一条修改为：“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三、将《中华人民共和国企业所得税法实施条例》第九十三条第二款中的“科技”修改为“工业和信息化、科技”。</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四、将《外国民用航空器飞行管理规则》第四条、第五条、第八条、第十二条至第十六条、第二十条、第二十二条、第二十四条至第二十六条、第三十条至第三十七条、第四十二条至第四十四条中的“中国民用航空总局”修改为“国务院民用航空主管部门”。</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将第四十二条第一款中的“违犯”修改为“违反”。</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lastRenderedPageBreak/>
        <w:t>五、将《民用航空运输不定期飞行管理暂行规定》第四条至第六条、第十二条、第十六条中的“中国民用航空局”修改为“国务院民用航空主管部门”。</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删去第十条、第十七条。</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第十一条改为第十条，修改为：“不定期民用航空运输价格实行市场调节价，由航空运输企业自主制定。”</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六、将《麻醉药品和精神药品管理条例》第三条修改为：“本条例所称麻醉药品和精神药品，是指列入本条第二款规定的目录（以下称目录）的药品和其他物质。</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麻醉药品和精神药品按照药用类和非药用类分类列管。药用类麻醉药品和精神药品目录由国务院药品监督管理部门会同国务院公安部门、国务院卫生主管部门制定、调整并公布。其中，药用类精神药品分为第一类精神药品和第二类精神药品。非药用类麻醉药品和精神药品目录由国务院公安部门会同国务院药品监督管理部门、国务院卫生主管部门制定、调整并公布。非药用类麻醉药品和精神药品发现药用用途的，调整列入药用类麻醉药品和精神药品目录，不再列入非药用类麻醉药品和精神药品目录。</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“国家组织开展药品和其他物质滥用监测，对药品和其他物质滥用情况进行评估，建立健全目录动态调整机制。上市销售但尚未列入目录的药品和其他物质或者第二类精神药品发生滥用，已</w:t>
      </w:r>
      <w:r w:rsidRPr="00C24861">
        <w:rPr>
          <w:rFonts w:ascii="仿宋" w:eastAsia="仿宋" w:hAnsi="仿宋" w:cs="宋体" w:hint="eastAsia"/>
          <w:color w:val="333333"/>
          <w:kern w:val="0"/>
          <w:sz w:val="32"/>
          <w:szCs w:val="32"/>
          <w:bdr w:val="none" w:sz="0" w:space="0" w:color="auto" w:frame="1"/>
        </w:rPr>
        <w:lastRenderedPageBreak/>
        <w:t>经造成或者可能造成严重社会危害的，国务院药品监督管理部门、国务院公安部门、国务院卫生主管部门应当依照前款的规定及时将该药品和该物质列入目录或者将该第二类精神药品调整为第一类精神药品。”</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四条增加两款，作为第二款、第三款：“对药用类麻醉药品和精神药品，可以依照本条例的规定进行实验研究、生产、经营、使用、储存、运输；对非药用类麻醉药品和精神药品，可以依照本条例的规定进行实验研究，不得生产、经营、使用、储存、运输。</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“国家建立麻醉药品和精神药品追溯管理体系。国务院药品监督管理部门应当制定统一的麻醉药品和精神药品追溯标准和规范，推进麻醉药品和精神药品追溯信息互通互享，实现麻醉药品和精神药品可追溯。”</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五条第二款修改为：“省、自治区、直辖市人民政府药品监督管理部门和设区的市级、县级人民政府承担药品监督管理职责的部门（以下称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lastRenderedPageBreak/>
        <w:t>第二十三条第一款中的“药品管理法第十五条规定”修改为“药品管理法规定”。</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第三十三条修改为：“麻醉药品和第一类精神药品实行政府指导价。具体办法由国务院医疗保障主管部门制定。”</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四十条第一款修改为：“执业医师应当使用专用处方开具麻醉药品和精神药品，单张处方的最大用量应当符合国务院卫生主管部门的规定。执业医师开具麻醉药品和精神药品处方，应当对患者的信息进行核对；因抢救患者等紧急情况，无法核对患者信息的，执业医师可以先行开具麻醉药品和精神药品处方。”</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四十一条修改为：“医疗机构应当对麻醉药品和精神药品处方进行专册登记，加强管理。麻醉药品处方至少保存3年，精神药品处方至少保存2年。医疗机构应当按照国务院卫生主管部门的规定及时报送麻醉药品和精神药品处方信息。”</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删去第八十四条第二款。</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第八十五条中的“麻醉药品目录”修改为“药用类麻醉药品”。</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增加一条，作为第八十七条：“非药用类麻醉药品和精神药品管理的具体办法，由国务院公安部门会同国务院药品监督管理部门、国务院卫生主管部门依据本条例制定。”</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第八十七条改为第八十八条，并将其中的“中国人民解放军总后勤部”修改为“中央军事委员会后勤保障部”。</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lastRenderedPageBreak/>
        <w:t>七、将《出版管理条例》第六十一条中的“违法经营额1万元以上的，并处违法经营额5倍以上10倍以下的罚款，违法经营额不足1万元的，可以处5万元以下的罚款”修改为“违法所得5万元以上的，并处违法所得5倍以上10倍以下的罚款，没有违法所得或者违法所得不足5万元的，并处25万元以下的罚款”。</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六十三条中的“违法经营额1万元以上的，并处违法经营额5倍以上10倍以下的罚款；违法经营额不足1万元的，可以处5万元以下的罚款；情节严重的，责令限期停业整顿或者由原发证机关吊销许可证”修改为“违法经营额1万元以上的，并处违法经营额5倍以上10倍以下的罚款，违法经营额不足1万元的，并处5万元以下的罚款；情节严重的，视情形限制开展相关生产经营活动、责令限期停业整顿，或者由原发证机关降低相关资质等级直至吊销许可证”。删去第三项。增加一款，作为第二款：“发行进口出版物未从本条例规定的出版物进口经营单位进货的，由出版行政主管部门责令停止违法行为，没收出版物、违法所得，违法所得5万元以上的，并处违法所得5倍以上10倍以下的罚款，没有违法所得或者违法所得不足5万元的，并处25万元以下的罚款；情节严重的，视情形限制开展相关生产经营活动、责令限期停业整顿，或者由原发证机关降低相关资质等级直至吊销许可证。”</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lastRenderedPageBreak/>
        <w:t>第六十五条中的“违法经营额1万元以上的，并处违法经营额5倍以上10倍以下的罚款；违法经营额不足1万元的，可以处5万元以下的罚款；情节严重的，责令限期停业整顿或者由原发证机关吊销许可证”修改为“违法所得5万元以上的，并处违法所得5倍以上10倍以下的罚款，没有违法所得或者违法所得不足5万元的，并处25万元以下的罚款；情节严重的，视情形限制开展相关生产经营活动、责令限期停业整顿，或者由原发证机关降低相关资质等级直至吊销许可证”。增加一款，作为第二款：“有下列行为之一的，由出版行政主管部门没收出版物、违法所得，违法经营额1万元以上的，并处违法经营额5倍以上10倍以下的罚款，违法经营额不足1万元的，并处5万元以下的罚款；情节严重的，视情形限制开展相关生产经营活动、责令限期停业整顿，或者由原发证机关降低相关资质等级直至吊销许可证：”，原第六项修改为第二款第一项、原第七项修改为第二款第二项。</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六十六条中的“违法经营额1万元以上的，并处违法经营额5倍以上10倍以下的罚款；违法经营额不足1万元的，可以处5万元以下的罚款；情节严重的，责令限期停业整顿或者由原发证机关吊销许可证”修改为“违法所得5万元以上的，并处违法所得5倍以上10倍以下的罚款，没有违法所得或者违法所得不足5万元的，并处25万元以下的罚款；情节严重的，视情形限制开展</w:t>
      </w:r>
      <w:r w:rsidRPr="00C24861">
        <w:rPr>
          <w:rFonts w:ascii="仿宋" w:eastAsia="仿宋" w:hAnsi="仿宋" w:cs="宋体" w:hint="eastAsia"/>
          <w:color w:val="333333"/>
          <w:kern w:val="0"/>
          <w:sz w:val="32"/>
          <w:szCs w:val="32"/>
          <w:bdr w:val="none" w:sz="0" w:space="0" w:color="auto" w:frame="1"/>
        </w:rPr>
        <w:lastRenderedPageBreak/>
        <w:t>相关生产经营活动、责令限期停业整顿，或者由原发证机关降低相关资质等级直至吊销许可证”。</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第七十一条增加一款，作为第二款：“本条例所称违法所得，是指实施违法行为扣除成本后的获利数额，没有成本或者成本难以计算的，实施违法行为所取得的款项即为违法所得。”</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八、将《音像制品管理条例》第三十九条中的“尚不够刑事处罚的，没收违法经营的音像制品和违法所得以及进行违法活动的专用工具、设备；违法经营额1万元以上的，并处违法经营额5倍以上10倍以下的罚款；违法经营额不足1万元的，可以处5万元以下的罚款”修改为“尚不够刑事处罚的，没收违法经营的音像制品和违法所得以及进行违法活动的专用工具、设备，违法所得5万元以上的，并处违法所得5倍以上10倍以下的罚款，没有违法所得或者违法所得不足5万元的，并处25万元以下的罚款”。</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四十二条中的“没收违法经营的音像制品和违法所得；违法经营额1万元以上的，并处违法经营额5倍以上10倍以下的罚款；违法经营额不足1万元的，可以处5万元以下的罚款；情节严重的，并责令停业整顿或者由原发证机关吊销许可证”修改为“没收违法经营的音像制品和违法所得，违法所得5万元以上的，并处违法所得5倍以上10倍以下的罚款，没有违法所得或者违法所得不足5万元的，并处25万元以下的罚款；情节严重的，视情形</w:t>
      </w:r>
      <w:r w:rsidRPr="00C24861">
        <w:rPr>
          <w:rFonts w:ascii="仿宋" w:eastAsia="仿宋" w:hAnsi="仿宋" w:cs="宋体" w:hint="eastAsia"/>
          <w:color w:val="333333"/>
          <w:kern w:val="0"/>
          <w:sz w:val="32"/>
          <w:szCs w:val="32"/>
          <w:bdr w:val="none" w:sz="0" w:space="0" w:color="auto" w:frame="1"/>
        </w:rPr>
        <w:lastRenderedPageBreak/>
        <w:t>限制开展相关生产经营活动、责令停业整顿，或者由原发证机关降低相关资质等级直至吊销许可证”。</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四十三条中的“没收违法经营的音像制品和违法所得；违法经营额1万元以上的，并处违法经营额5倍以上10倍以下的罚款；违法经营额不足1万元的，可以处5万元以下的罚款；情节严重的，并由原发证机关吊销许可证”修改为“没收违法经营的音像制品和违法所得，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四十五条中的“没收违法经营的音像制品和违法所得；违法经营额1万元以上的，并处违法经营额5倍以上10倍以下的罚款；违法经营额不足1万元的，可以处5万元以下的罚款；情节严重的，并责令停业整顿或者由原发证机关吊销许可证”修改为“没收违法经营的音像制品和违法所得，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lastRenderedPageBreak/>
        <w:t>第四十七条增加一款，作为第二款：“本条例所称违法所得，是指实施违法行为扣除成本后的获利数额，没有成本或者成本难以计算的，实施违法行为所取得的款项即为违法所得。”</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九、将《印刷业管理条例》第三十六条中的“违法经营额1万元以上的，并处违法经营额5倍以上10倍以下的罚款；违法经营额不足1万元的，并处1万元以上5万元以下的罚款”修改为“违法所得5万元以上的，并处违法所得5倍以上10倍以下的罚款，没有违法所得或者违法所得不足5万元的，并处25万元以下的罚款”。</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三十七条中的“责令停业整顿，没收印刷品和违法所得，违法经营额1万元以上的，并处违法经营额5倍以上10倍以下的罚款；违法经营额不足1万元的，并处1万元以上5万元以下的罚款；情节严重的，由原发证机关吊销许可证”修改为“限制开展相关生产经营活动或者责令停业整顿，没收印刷品和违法所得，违法所得5万元以上的，并处违法所得5倍以上10倍以下的罚款，没有违法所得或者违法所得不足5万元的，并处25万元以下的罚款；情节严重的，由原发证机关降低相关资质等级直至吊销许可证”。</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第四十条中的“违法经营额1万元以上的，并处违法经营额5倍以上10倍以下的罚款；违法经营额不足1万元的，并处1万元</w:t>
      </w:r>
      <w:r w:rsidRPr="00C24861">
        <w:rPr>
          <w:rFonts w:ascii="仿宋" w:eastAsia="仿宋" w:hAnsi="仿宋" w:cs="宋体" w:hint="eastAsia"/>
          <w:color w:val="333333"/>
          <w:kern w:val="0"/>
          <w:sz w:val="32"/>
          <w:szCs w:val="32"/>
          <w:bdr w:val="none" w:sz="0" w:space="0" w:color="auto" w:frame="1"/>
        </w:rPr>
        <w:lastRenderedPageBreak/>
        <w:t>以上5万元以下的罚款；情节严重的，责令停业整顿或者由原发证机关吊销许可证”修改为“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删去第二、三、四、六项，原第五项改为第二项、原第七项改为第三项。增加一款，作为第二款：“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视情形限制开展相关生产经营活动、责令停业整顿，或者由原发证机关降低相关资质等级直至吊销许可证；构成犯罪的，依法追究刑事责任：</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“（一）假冒或者盗用他人名义，印刷出版物的；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“（二）盗印他人出版物的；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“（三）非法加印或者销售受委托印刷的出版物的；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“（四）擅自将出版单位委托印刷的出版物纸型及印刷底片等出售、出租、出借或者以其他形式转让的。”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lastRenderedPageBreak/>
        <w:t>第四十一条第一款中的“违法经营额1万元以上的，并处违法经营额5倍以上10倍以下的罚款；违法经营额不足1万元的，并处1万元以上5万元以下的罚款；情节严重的，责令停业整顿或者由原发证机关吊销许可证”修改为“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第二款中的“违法经营额1万元以上的，并处违法经营额5倍以上10倍以下的罚款；违法经营额不足1万元的，并处1万元以上5万元以下的罚款”修改为“违法所得5万元以上的，并处违法所得5倍以上10倍以下的罚款，没有违法所得或者违法所得不足5万元的，并处25万元以下的罚款”。</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四十二条中的“违法经营额1万元以上的，并处违法经营额5倍以上10倍以下的罚款；违法经营额不足1万元的，并处1万元以上5万元以下的罚款；情节严重的，责令停业整顿或者由原发证机关吊销许可证”修改为“违法所得5万元以上的，并处违法所得5倍以上10倍以下的罚款，没有违法所得或者违法所得不足5万元的，并处25万元以下的罚款；情节严重的，视情形限制开展相关生产经营活动、责令停业整顿，或者由原发证机关降低</w:t>
      </w:r>
      <w:r w:rsidRPr="00C24861">
        <w:rPr>
          <w:rFonts w:ascii="仿宋" w:eastAsia="仿宋" w:hAnsi="仿宋" w:cs="宋体" w:hint="eastAsia"/>
          <w:color w:val="333333"/>
          <w:kern w:val="0"/>
          <w:sz w:val="32"/>
          <w:szCs w:val="32"/>
          <w:bdr w:val="none" w:sz="0" w:space="0" w:color="auto" w:frame="1"/>
        </w:rPr>
        <w:lastRenderedPageBreak/>
        <w:t>相关资质等级直至吊销许可证”。删去第四项，原第五项改为第四项、原第六项改为第五项、原第七项改为第六项。增加一款，作为第二款：“伪造、变造学位证书、学历证书等国家机关公文、证件或者企业事业单位、人民团体公文、证件的，或者盗印他人的其他印刷品的，由县级以上地方人民政府出版行政部门给予警告，没收印刷品和违法所得，违法经营额1万元以上的，并处违法经营额5倍以上10倍以下的罚款，违法经营额不足1万元的，并处1万元以上5万元以下的罚款；情节严重的，视情形限制开展相关生产经营活动、责令停业整顿，或者由原发证机关降低相关资质等级直至吊销许可证；构成犯罪的，依法追究刑事责任。”</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第四十六条增加一款，作为第二款：“本条例所称违法所得，是指实施违法行为扣除成本后的获利数额，没有成本或者成本难以计算的，实施违法行为所取得的款项即为违法所得。”</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十、将《使用有毒物品作业场所劳动保护条例》第九条、第十条、第四十七条至第五十条、第五十三条、第五十四条中的“卫生行政部门”修改为“卫生行政、疾病预防控制部门”。</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删去第十一条第三款。</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第十三条修改为：“新建、扩建、改建的建设项目和技术改造、技术引进项目（以下统称建设项目），可能产生职业中毒危害的，应当依照职业病防治法的规定进行职业中毒危害预评价；可能产</w:t>
      </w:r>
      <w:r w:rsidRPr="00C24861">
        <w:rPr>
          <w:rFonts w:ascii="仿宋" w:eastAsia="仿宋" w:hAnsi="仿宋" w:cs="宋体" w:hint="eastAsia"/>
          <w:color w:val="333333"/>
          <w:kern w:val="0"/>
          <w:sz w:val="32"/>
          <w:szCs w:val="32"/>
          <w:bdr w:val="none" w:sz="0" w:space="0" w:color="auto" w:frame="1"/>
        </w:rPr>
        <w:lastRenderedPageBreak/>
        <w:t>生职业中毒危害的建设项目的职业中毒危害防护设施应当与主体工程同时设计，同时施工，同时投入生产和使用；建设项目竣工验收前，应当进行职业中毒危害控制效果评价；建设项目的职业中毒危害防护设施经依法组织验收合格后，方可投入生产和使用。</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“可能产生职业中毒危害的建设项目的职业中毒危害防护设施设计应当符合国家职业卫生标准和卫生要求。”</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第十六条中的“安全生产监督管理部门”修改为“应急管理部门”。</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第五十一条、第五十五条中的“卫生行政部门执法人员”修改为“职业卫生监督执法人员”。</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五十二条、第六十条、第六十一条、第六十二条中的“卫生行政部门”修改为“疾病预防控制部门”；第六十六条、第六十九条分别改为第六十五条、第六十八条，并将其中的“卫生行政部门”修改为“疾病预防控制部门”。</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第五十六条中的“卫生行政部门”修改为“疾病预防控制部门”，“执法人员”修改为“职业卫生监督执法人员”。</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第五十七条修改为：“卫生行政、疾病预防控制部门的工作人员有下列行为之一，导致职业中毒事故发生的，依照刑法关于滥用职权罪、玩忽职守罪或者其他罪的规定，依法追究刑事责任；</w:t>
      </w:r>
      <w:r w:rsidRPr="00C24861">
        <w:rPr>
          <w:rFonts w:ascii="仿宋" w:eastAsia="仿宋" w:hAnsi="仿宋" w:cs="宋体" w:hint="eastAsia"/>
          <w:color w:val="333333"/>
          <w:kern w:val="0"/>
          <w:sz w:val="32"/>
          <w:szCs w:val="32"/>
          <w:bdr w:val="none" w:sz="0" w:space="0" w:color="auto" w:frame="1"/>
        </w:rPr>
        <w:lastRenderedPageBreak/>
        <w:t>造成职业中毒危害但尚未导致职业中毒事故发生，不够刑事处罚的，根据不同情节，依法给予降级、撤职或者开除的处分：</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“（一）对用人单位不履行监督检查职责，或者发现用人单位存在违反本条例的行为不予查处的；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“（二）发现用人单位存在职业中毒危害，可能造成职业中毒事故，不及时依法采取控制措施的。”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五十八条修改为：“用人单位违反本条例的规定，有下列情形之一的，由疾病预防控制部门给予警告，责令限期改正；逾期不改正的，处10万元以上50万元以下的罚款；情节严重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“（一）可能产生职业中毒危害的建设项目，未依照职业病防治法的规定进行职业中毒危害预评价的；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“（二）职业中毒危害防护设施未与主体工程同时设计，同时施工，同时投入生产和使用的；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“（三）建设项目竣工验收前，未进行职业中毒危害控制效果评价，或者职业中毒危害防护设施未经依法组织验收合格，擅自投入生产和使用的；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lastRenderedPageBreak/>
        <w:t>“（四）可能产生职业中毒危害的建设项目，其职业中毒危害防护设施设计不符合国家职业卫生标准和卫生要求的。”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五十九条修改为：“用人单位违反本条例的规定，有下列情形之一的，由疾病预防控制部门给予警告，责令限期改正；逾期不改正的，处5万元以上20万元以下的罚款；情节严重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“（一）使用有毒物品作业场所未按照规定设置警示标识和中文警示说明的；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“（二）未对职业卫生防护设备、应急救援设施、通讯报警装置进行维护、检修和定期检测，导致上述设施处于不正常状态的；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“（三）未依照本条例的规定进行职业中毒危害因素检测和职业中毒危害控制效果评价的；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“（四）未向从事使用有毒物品作业的劳动者提供符合国家职业卫生标准的防护用品，或者未保证劳动者正确使用的。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“用人单位违反本条例的规定，有下列情形之一的，由疾病预防控制部门给予警告，责令限期改正，处5万元以上20万元以下的罚款；逾期不改正的，提请有关人民政府按照国务院规定的权</w:t>
      </w:r>
      <w:r w:rsidRPr="00C24861">
        <w:rPr>
          <w:rFonts w:ascii="仿宋" w:eastAsia="仿宋" w:hAnsi="仿宋" w:cs="宋体" w:hint="eastAsia"/>
          <w:color w:val="333333"/>
          <w:kern w:val="0"/>
          <w:sz w:val="32"/>
          <w:szCs w:val="32"/>
          <w:bdr w:val="none" w:sz="0" w:space="0" w:color="auto" w:frame="1"/>
        </w:rPr>
        <w:lastRenderedPageBreak/>
        <w:t>限予以关闭；造成严重职业中毒危害或者导致职业中毒事故发生的，对负有责任的主管人员和其他直接责任人员依照刑法关于重大劳动安全事故罪或者其他罪的规定，依法追究刑事责任：</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“（一）高毒作业场所未按照规定设置撤离通道和泄险区的；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“（二）高毒作业场所未按照规定设置警示线的。”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六十三条修改为：“用人单位违反本条例的规定，有下列行为之一的，由疾病预防控制部门责令限期改正，处5万元以上30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“（一）未组织从事使用有毒物品作业的劳动者进行上岗前职业健康检查，安排未经上岗前职业健康检查的劳动者从事使用有毒物品作业的；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“（二）使用未经培训考核合格的劳动者从事高毒作业的；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“（三）安排有职业禁忌的劳动者从事所禁忌的作业的；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“（四）发现有职业禁忌或者有与所从事职业相关的健康损害的劳动者，未及时调离原工作岗位，并妥善安置的；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lastRenderedPageBreak/>
        <w:t>“（五）安排未成年人或者孕期、哺乳期的女职工从事使用有毒物品作业的；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“（六）使用童工的。”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删去第六十四条。</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六十五条改为第六十四条，修改为：“从事使用有毒物品作业的用人单位违反本条例的规定，在转产、停产、停业或者解散、破产时未采取有效措施，妥善处理留存或者残留高毒物品的设备、包装物和容器的，由疾病预防控制部门责令改正，处2万元以上10万元以下的罚款；触犯刑律的，对负有责任的主管人员和其他直接责任人员依照刑法关于污染环境罪、危险物品肇事罪或者其他罪的规定，依法追究刑事责任。”</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六十七条改为第六十六条，修改为：“用人单位违反本条例的规定，有下列情形之一的，由疾病预防控制部门给予警告，责令限期改正，处2万元以上5万元以下的罚款；逾期不改正的，提请有关人民政府按照国务院规定的权限予以关闭：</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“（一）未按照规定向卫生行政部门申报高毒作业项目的；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“（二）变更使用高毒物品品种，未按照规定向原受理申报的卫生行政部门重新申报，或者申报不及时、有虚假的。”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第六十八条改为第六十七条，修改为：“用人单位违反本条例的规定，有下列行为之一的，由疾病预防控制部门给予警告，责</w:t>
      </w:r>
      <w:r w:rsidRPr="00C24861">
        <w:rPr>
          <w:rFonts w:ascii="仿宋" w:eastAsia="仿宋" w:hAnsi="仿宋" w:cs="宋体" w:hint="eastAsia"/>
          <w:color w:val="333333"/>
          <w:kern w:val="0"/>
          <w:sz w:val="32"/>
          <w:szCs w:val="32"/>
          <w:bdr w:val="none" w:sz="0" w:space="0" w:color="auto" w:frame="1"/>
        </w:rPr>
        <w:lastRenderedPageBreak/>
        <w:t>令限期改正，可以并处5万元以上10万元以下的罚款；逾期不改正的，责令停止使用有毒物品作业，或者提请有关人民政府按照国务院规定的权限予以关闭：</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“（一）未组织从事使用有毒物品作业的劳动者进行定期职业健康检查的；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“（二）未组织从事使用有毒物品作业的劳动者进行离岗职业健康检查的；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“（三）对未进行离岗职业健康检查的劳动者，解除或者终止与其订立的劳动合同的；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“（四）发生分立、合并、解散、破产情形，未对从事使用有毒物品作业的劳动者进行健康检查，并按照国家有关规定妥善安置职业病病人的；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“（五）对受到或者可能受到急性职业中毒危害的劳动者，未及时组织进行健康检查和医学观察的；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“（六）未建立职业健康监护档案的；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“（七）劳动者离开用人单位时，用人单位未如实、无偿提供职业健康监护档案的；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“（八）未依照职业病防治法和本条例的规定将工作过程中可能产生的职业中毒危害及其后果、有关职业卫生防护措施和待遇等如实告知劳动者并在劳动合同中写明的；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lastRenderedPageBreak/>
        <w:t>“（九）劳动者在存在威胁生命、健康危险的情况下，从危险现场中撤离，而被取消或者减少应当享有的待遇的。”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十一、将《地震监测管理条例》第三十六条修改为：“有本条例第二十六条、第二十八条所列行为之一的，由国务院地震工作主管部门或者县级以上地方人民政府负责管理地震工作的部门或者机构责令停止违法行为，恢复原状或者采取其他补救措施。</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“单位有前款所列违法行为，情节严重的，处2万元以上20万元以下的罚款；个人有前款所列违法行为，情节严重的，处2000元以下的罚款。构成犯罪的，依法追究刑事责任；造成损失的，依法承担赔偿责任。”</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十二、将《互联网上网服务营业场所管理条例》第十一条修改为：“文化行政部门应当自收到申请之日起20个工作日内作出决定；经审查，符合条件的，发给同意筹建的批准文件。</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“申请人还应当依照有关消防管理法律法规的规定办理审批手续。</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申请人取得消防安全批准文件后，向文化行政部门申请最终审核。文化行政部门应当自收到申请之日起15个工作日内依据本条例第八条的规定作出决定；经实地检查并审核合格的，发给《网络文化经营许可证》。</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lastRenderedPageBreak/>
        <w:t>“对申请人的申请，有关部门经审查不符合条件的，或者经审核不合格的，应当分别向申请人书面说明理由。</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“文化行政部门发放《网络文化经营许可证》的情况或互联网上网服务营业场所经营单位拟开展经营活动的情况，应当及时向同级公安机关通报或报备。”</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删去第三十二条中的“承诺的”。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b/>
          <w:bCs/>
          <w:color w:val="333333"/>
          <w:kern w:val="0"/>
          <w:sz w:val="32"/>
          <w:szCs w:val="32"/>
          <w:bdr w:val="none" w:sz="0" w:space="0" w:color="auto" w:frame="1"/>
        </w:rPr>
        <w:t>十三、删去《广播电视管理条例》第三十五条第一款。</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b/>
          <w:bCs/>
          <w:color w:val="333333"/>
          <w:kern w:val="0"/>
          <w:sz w:val="32"/>
          <w:szCs w:val="32"/>
          <w:bdr w:val="none" w:sz="0" w:space="0" w:color="auto" w:frame="1"/>
        </w:rPr>
        <w:t>删去第四十八条中的“电视剧及其他”。</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b/>
          <w:bCs/>
          <w:color w:val="333333"/>
          <w:kern w:val="0"/>
          <w:sz w:val="32"/>
          <w:szCs w:val="32"/>
          <w:bdr w:val="none" w:sz="0" w:space="0" w:color="auto" w:frame="1"/>
        </w:rPr>
        <w:t>删去第五十条第五项中的“或者未取得电视剧制作许可的单位制作的电视剧”。</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十四、删去《放射性药品管理办法》第十五条。</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将第二十一条改为第二十条，修改为：“医疗单位使用放射性药品应当符合国家有关放射性同位素安全和防护的规定，具有与所使用放射性药品相适应的场所、设备、卫生环境和专用的仓储设施。”</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第二十二条改为第二十一条，修改为：“医疗单位配制放射性制剂，应当符合《中华人民共和国药品管理法》及其实施条例的相关规定。</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lastRenderedPageBreak/>
        <w:t>“医疗单位使用配制的放射性制剂，应当向所在地省、自治区、直辖市药品监督管理部门申请核发相应等级的《放射性药品使用许可证》。</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“《放射性药品使用许可证》有效期为5年，期满前6个月，医疗单位应当向原发证的行政部门重新提出申请，经审核批准后，换发新证。”</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二十三条改为第二十二条，修改为：“医疗单位负责对使用的放射性药品进行临床质量检验、收集药品不良反应等项工作，并定期向所在地药品监督管理、卫生行政部门报告。由省、自治区、直辖市药品监督管理、卫生行政部门汇总后分别报国务院药品监督管理、卫生行政部门。”</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十五、将《中华人民共和国药品管理法实施条例》第十一条修改为：“开办药品批发企业、药品零售企业，应当依据《中华人民共和国药品管理法》的规定提出药品经营许可申请，并提交证明其符合《中华人民共和国药品管理法》规定条件的资料。”</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第十二条修改为：“对药品经营许可申请，应当自受理申请之日起20个工作日内作出行政许可决定。对符合规定条件的，准予许可并发给《药品经营许可证》；对不符合规定条件的，不予许可并书面说明理由。”</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lastRenderedPageBreak/>
        <w:t>十六、将《印铸刻字业暂行管理规则》第三条和第五条合并，作为第三条，修改为：“公章刻制经营者取得市场监管部门核发的营业执照后，应当在5日内将以下信息材料向所在地县级人民政府公安机关备案：</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“（一）营业执照复印件；</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“（二）法定代表人、经营负责人及从业人员有效身份证件复印件；</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“（三）标注安全防范设施的经营场所内部结构平面图；</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“（四）公章刻制和信息备案设备清单；</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“（五）内部管理制度和安全制度。</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“公安机关能够通过部门间信息共享获得的备案信息，不要求当事人提供。</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“公章刻制经营者上述备案信息发生变化的，应当自有关变化发生之日起15日内向原备案公安机关更新备案信息。</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“公章刻制经营者终止公章刻制业务的，应当及时向公安机关办理备案注销。”</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第六条改为第五条，第一项修改为：“（一）公章刻制经营者应当核验刻制公章的证明材料，采集用章单位、公章刻制申请人的基本信息，并应当在刻制公章后1日内，将用章单位、公章刻</w:t>
      </w:r>
      <w:r w:rsidRPr="00C24861">
        <w:rPr>
          <w:rFonts w:ascii="仿宋" w:eastAsia="仿宋" w:hAnsi="仿宋" w:cs="宋体" w:hint="eastAsia"/>
          <w:color w:val="333333"/>
          <w:kern w:val="0"/>
          <w:sz w:val="32"/>
          <w:szCs w:val="32"/>
          <w:bdr w:val="none" w:sz="0" w:space="0" w:color="auto" w:frame="1"/>
        </w:rPr>
        <w:lastRenderedPageBreak/>
        <w:t>制申请人等基本信息及印模、刻制公章的证明材料报所在地县级人民政府公安机关备案。”</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增加一条，作为第六条：“公安机关可以通过网络等方式，便利公章刻制经营者备案，并应当向备案的公章刻制经营者免费提供或者协助其安装公章刻制信息备案系统软件。”</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七条修改为：“违反本规则第三条第一款、第三款规定的，由公安机关责令限期改正，予以警告；逾期不改正的，对公章刻制经营者处3000元以上3万元以下罚款。公章刻制经营者备案时提供虚假信息的，由公安机关责令限期改正，并处5000元以上1万元以下罚款；逾期不改正的，处1万元以上5万元以下罚款。</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违反本规则第五条第一项规定的，由公安机关责令限期改正，予以警告；逾期不改正的，责令停业整顿1个月至3个月，对公章刻制经营者并处5000元以上5万元以下罚款，对直接负责的主管人员和其他直接责任人员处500元以上5000元以下罚款；情节较重的，由市场监管部门吊销营业执照。”</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十七、将《公共场所卫生管理条例》第二条第一项修改为：“（一）宾馆、旅店、招待所；”。</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第三条第二款中的“国务院卫生行政部门”修改为“国务院疾病预防控制部门”。</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lastRenderedPageBreak/>
        <w:t>第四条第二款中的“县以上卫生行政部门”修改为“设区的市级、县级人民政府疾病预防控制部门”。</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第八条修改为：“除公园、体育场（馆）、公共交通工具和本条第二款规定的实行卫生备案管理的公共场所外，经营单位应当在营业前向设区的市级、县级人民政府疾病预防控制部门申请办理‘卫生许可证’。</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“录像厅（室）、音乐厅、展览馆、博物馆、美术馆、图书馆、书店的经营单位应当在营业之日起30天内向设区的市级、县级人民政府疾病预防控制部门办理卫生备案。”</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第十四条第一款第四项修改为：“（四）未取得‘卫生许可证’擅自营业，或者未办理卫生备案的。”</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十八、将《互联网信息服务管理办法》第五条修改为：“从事新闻、出版、教育等互联网信息服务，依照法律、行政法规以及国家有关规定须经有关主管部门审核同意的，在申请经营许可或者履行备案手续前，应当依法经有关主管部门审核同意。”</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十九、将《外国人在中华人民共和国收养子女登记办法》第一条中的“《中华人民共和国收养法》”修改为“《中华人民共和国民法典》（以下简称民法典）”。</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第四条第二款修改为：“前款规定的收养人的收养申请、家庭情况报告和证明，是指由其所在国有权机构出具，经其所在国外</w:t>
      </w:r>
      <w:r w:rsidRPr="00C24861">
        <w:rPr>
          <w:rFonts w:ascii="仿宋" w:eastAsia="仿宋" w:hAnsi="仿宋" w:cs="宋体" w:hint="eastAsia"/>
          <w:color w:val="333333"/>
          <w:kern w:val="0"/>
          <w:sz w:val="32"/>
          <w:szCs w:val="32"/>
          <w:bdr w:val="none" w:sz="0" w:space="0" w:color="auto" w:frame="1"/>
        </w:rPr>
        <w:lastRenderedPageBreak/>
        <w:t>交机关或者外交机关授权的机构认证，并经中华人民共和国驻该国使馆或者领馆认证的，或者履行中华人民共和国缔结或者参加的国际条约规定的证明手续的下列文件：</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“（一）跨国收养申请书；</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“（二）出生证明；</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“（三）婚姻状况证明；</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“（四）职业、经济收入和财产状况证明；</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“（五）身体健康检查证明；</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“（六）有无受过刑事处罚的证明；</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“（七）收养人所在国主管机关同意其跨国收养子女的证明；</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“（八）家庭情况报告，包括收养人的身份、收养的合格性和适当性、家庭状况和病史、收养动机以及适合于照顾儿童的特点等。”</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第六条第一款、第七条中的“收养法”修改为“民法典”。</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八条修改为：“外国人来华收养子女，应当亲自来华办理登记手续。夫妻共同收养的，应当共同来华办理收养手续；一方因故不能来华的，应当书面委托另一方。委托书应当经所在国公证和认证。中华人民共和国缔结或者参加的国际条约另有规定的，按照国际条约规定的证明手续办理。</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lastRenderedPageBreak/>
        <w:t>“收养人对外国主管机关依据本办法第四条第二款和前款提及的国际条约出具的证明文书的真实性负责，签署书面声明，并承担相应法律责任。”</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二十、将《婚姻登记条例》第一条中的“婚姻法”修改为“民法典”。</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五条第三款第二项修改为：“（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中华人民共和国缔结或者参加的国际条约另有规定的，按照国际条约规定的证明手续办理。”第四款第二项修改为：“（二）所在国公证机构或者有权机关出具的、经中华人民共和国驻该国使（领）馆认证或者该国驻华使（领）馆认证的本人无配偶的证明，或者所在国驻华使（领）馆出具的本人无配偶的证明。中华人民共和国缔结或者参加的国际条约另有规定的，按照国际条约规定的证明手续办理。”增加一款，作为第五款：“办理结婚登记的当事人对外国主管机关依据本条第三款、第四款提及的国际条约出具的证明文书的真实性负责，签署书面声明，并承担相应法律责任。”</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lastRenderedPageBreak/>
        <w:t>删去第六条第五项。</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第九条修改为：“因胁迫结婚的，受胁迫的当事人可以依据民法典第一千零五十二条的规定向人民法院请求撤销婚姻。一方当事人患有重大疾病的，应当在结婚登记前如实告知另一方当事人；不如实告知的，另一方当事人可以依据民法典第一千零五十三条的规定向人民法院请求撤销婚姻。”</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二十一、将《外国律师事务所驻华代表机构管理条例》第八条第二款修改为：“前款所列文件材料，应当经申请人本国公证机构或者公证人的公证、其本国外交主管机关或者外交主管机关授权的机关认证，并经中国驻该国使（领）馆认证。中国缔结或者参加的国际条约另有规定的，按照国际条约规定的证明手续办理。”</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此外，对相关行政法规中的条文序号作相应调整。</w:t>
      </w:r>
    </w:p>
    <w:p w:rsidR="00747D78" w:rsidRPr="00C24861" w:rsidRDefault="00747D78" w:rsidP="00747D78">
      <w:pPr>
        <w:widowControl/>
        <w:shd w:val="clear" w:color="auto" w:fill="FFFFFF"/>
        <w:ind w:firstLine="630"/>
        <w:jc w:val="left"/>
        <w:rPr>
          <w:rFonts w:ascii="宋体" w:eastAsia="宋体" w:hAnsi="宋体" w:cs="宋体"/>
          <w:color w:val="333333"/>
          <w:kern w:val="0"/>
          <w:sz w:val="32"/>
          <w:szCs w:val="32"/>
        </w:rPr>
      </w:pPr>
    </w:p>
    <w:p w:rsidR="00747D78" w:rsidRPr="00C24861" w:rsidRDefault="00747D78" w:rsidP="00747D78">
      <w:pPr>
        <w:widowControl/>
        <w:shd w:val="clear" w:color="auto" w:fill="FFFFFF"/>
        <w:ind w:firstLine="630"/>
        <w:jc w:val="left"/>
        <w:rPr>
          <w:rFonts w:ascii="宋体" w:eastAsia="宋体" w:hAnsi="宋体" w:cs="宋体"/>
          <w:color w:val="333333"/>
          <w:kern w:val="0"/>
          <w:sz w:val="32"/>
          <w:szCs w:val="32"/>
        </w:rPr>
      </w:pP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b/>
          <w:bCs/>
          <w:color w:val="333333"/>
          <w:kern w:val="0"/>
          <w:sz w:val="32"/>
          <w:szCs w:val="32"/>
          <w:bdr w:val="none" w:sz="0" w:space="0" w:color="auto" w:frame="1"/>
        </w:rPr>
        <w:t>附件2</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微软雅黑" w:eastAsia="微软雅黑" w:hAnsi="微软雅黑" w:cs="宋体" w:hint="eastAsia"/>
          <w:color w:val="333333"/>
          <w:kern w:val="0"/>
          <w:sz w:val="32"/>
          <w:szCs w:val="32"/>
          <w:bdr w:val="none" w:sz="0" w:space="0" w:color="auto" w:frame="1"/>
        </w:rPr>
        <w:br/>
      </w:r>
    </w:p>
    <w:p w:rsidR="00747D78" w:rsidRPr="00C24861" w:rsidRDefault="00747D78" w:rsidP="00747D78">
      <w:pPr>
        <w:widowControl/>
        <w:shd w:val="clear" w:color="auto" w:fill="FFFFFF"/>
        <w:spacing w:line="720" w:lineRule="atLeast"/>
        <w:jc w:val="center"/>
        <w:rPr>
          <w:rFonts w:ascii="宋体" w:eastAsia="宋体" w:hAnsi="宋体" w:cs="宋体"/>
          <w:color w:val="333333"/>
          <w:kern w:val="0"/>
          <w:sz w:val="32"/>
          <w:szCs w:val="32"/>
        </w:rPr>
      </w:pPr>
      <w:r w:rsidRPr="00C24861">
        <w:rPr>
          <w:rFonts w:ascii="黑体" w:eastAsia="黑体" w:hAnsi="黑体" w:cs="宋体" w:hint="eastAsia"/>
          <w:color w:val="333333"/>
          <w:kern w:val="0"/>
          <w:sz w:val="32"/>
          <w:szCs w:val="32"/>
          <w:bdr w:val="none" w:sz="0" w:space="0" w:color="auto" w:frame="1"/>
        </w:rPr>
        <w:t>国务院决定废止的行政法规</w:t>
      </w:r>
    </w:p>
    <w:p w:rsidR="00747D78" w:rsidRPr="00C24861" w:rsidRDefault="00747D78" w:rsidP="00747D78">
      <w:pPr>
        <w:widowControl/>
        <w:shd w:val="clear" w:color="auto" w:fill="FFFFFF"/>
        <w:ind w:firstLine="630"/>
        <w:jc w:val="left"/>
        <w:rPr>
          <w:rFonts w:ascii="宋体" w:eastAsia="宋体" w:hAnsi="宋体" w:cs="宋体"/>
          <w:color w:val="333333"/>
          <w:kern w:val="0"/>
          <w:sz w:val="32"/>
          <w:szCs w:val="32"/>
        </w:rPr>
      </w:pP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lastRenderedPageBreak/>
        <w:t>一、关于爱国卫生运动委员会及其办事机构若干问题的规定（1980年5月9日国务院批准）</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二、现金管理暂行条例（1988年9月8日中华人民共和国国务院令第12号发布　根据2011年1月8日《国务院关于废止和修改部分行政法规的决定》修订）</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三、关于国务院管理干部的公司领导职数等若干问题的规定（1989年5月11日国务院批准　1989年5月11日国务院办公厅发布）</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四、行政机关公务员处分条例（2007年4月4日国务院第173次常务会议通过　2007年4月22日中华人民共和国国务院令第495号公布）</w:t>
      </w:r>
    </w:p>
    <w:p w:rsidR="00747D78" w:rsidRPr="00C24861" w:rsidRDefault="00747D78" w:rsidP="00747D78">
      <w:pPr>
        <w:widowControl/>
        <w:shd w:val="clear" w:color="auto" w:fill="FFFFFF"/>
        <w:spacing w:line="720" w:lineRule="atLeast"/>
        <w:ind w:firstLine="480"/>
        <w:rPr>
          <w:rFonts w:ascii="宋体" w:eastAsia="宋体" w:hAnsi="宋体" w:cs="宋体"/>
          <w:color w:val="333333"/>
          <w:kern w:val="0"/>
          <w:sz w:val="32"/>
          <w:szCs w:val="32"/>
        </w:rPr>
      </w:pPr>
      <w:r w:rsidRPr="00C24861">
        <w:rPr>
          <w:rFonts w:ascii="仿宋" w:eastAsia="仿宋" w:hAnsi="仿宋" w:cs="宋体" w:hint="eastAsia"/>
          <w:color w:val="333333"/>
          <w:kern w:val="0"/>
          <w:sz w:val="32"/>
          <w:szCs w:val="32"/>
          <w:bdr w:val="none" w:sz="0" w:space="0" w:color="auto" w:frame="1"/>
        </w:rPr>
        <w:t>政策解读：</w:t>
      </w:r>
      <w:hyperlink r:id="rId7" w:tgtFrame="_self" w:history="1">
        <w:r w:rsidRPr="00C24861">
          <w:rPr>
            <w:rFonts w:ascii="微软雅黑" w:eastAsia="微软雅黑" w:hAnsi="微软雅黑" w:cs="宋体" w:hint="eastAsia"/>
            <w:color w:val="0B77CD"/>
            <w:kern w:val="0"/>
            <w:sz w:val="32"/>
            <w:szCs w:val="32"/>
            <w:u w:val="single"/>
            <w:bdr w:val="none" w:sz="0" w:space="0" w:color="auto" w:frame="1"/>
          </w:rPr>
          <w:t>国家广播电视总局新闻发言人就电视剧制作单位审批管理有关问题答记者问</w:t>
        </w:r>
      </w:hyperlink>
    </w:p>
    <w:p w:rsidR="00747D78" w:rsidRPr="00C24861" w:rsidRDefault="00747D78" w:rsidP="00747D78">
      <w:pPr>
        <w:widowControl/>
        <w:jc w:val="left"/>
        <w:rPr>
          <w:rFonts w:ascii="宋体" w:eastAsia="宋体" w:hAnsi="宋体" w:cs="宋体"/>
          <w:kern w:val="0"/>
          <w:sz w:val="24"/>
        </w:rPr>
      </w:pPr>
    </w:p>
    <w:p w:rsidR="00DE10B3" w:rsidRPr="00747D78" w:rsidRDefault="00DE10B3">
      <w:bookmarkStart w:id="0" w:name="_GoBack"/>
      <w:bookmarkEnd w:id="0"/>
    </w:p>
    <w:sectPr w:rsidR="00DE10B3" w:rsidRPr="00747D78" w:rsidSect="00196CF0">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1DE" w:rsidRDefault="000F41DE" w:rsidP="00747D78">
      <w:r>
        <w:separator/>
      </w:r>
    </w:p>
  </w:endnote>
  <w:endnote w:type="continuationSeparator" w:id="0">
    <w:p w:rsidR="000F41DE" w:rsidRDefault="000F41DE" w:rsidP="0074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1DE" w:rsidRDefault="000F41DE" w:rsidP="00747D78">
      <w:r>
        <w:separator/>
      </w:r>
    </w:p>
  </w:footnote>
  <w:footnote w:type="continuationSeparator" w:id="0">
    <w:p w:rsidR="000F41DE" w:rsidRDefault="000F41DE" w:rsidP="00747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5CE"/>
    <w:rsid w:val="000F41DE"/>
    <w:rsid w:val="00196CF0"/>
    <w:rsid w:val="00295C5E"/>
    <w:rsid w:val="004D0411"/>
    <w:rsid w:val="007325CE"/>
    <w:rsid w:val="00747D78"/>
    <w:rsid w:val="00A0286B"/>
    <w:rsid w:val="00DE10B3"/>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D78"/>
    <w:pPr>
      <w:widowControl w:val="0"/>
      <w:jc w:val="both"/>
    </w:pPr>
    <w:rPr>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新闻标题"/>
    <w:uiPriority w:val="1"/>
    <w:qFormat/>
    <w:rsid w:val="00295C5E"/>
    <w:pPr>
      <w:widowControl w:val="0"/>
      <w:jc w:val="center"/>
    </w:pPr>
    <w:rPr>
      <w:rFonts w:eastAsia="微软雅黑"/>
      <w:sz w:val="44"/>
    </w:rPr>
  </w:style>
  <w:style w:type="paragraph" w:styleId="a4">
    <w:name w:val="Subtitle"/>
    <w:aliases w:val="新闻正文"/>
    <w:basedOn w:val="a"/>
    <w:next w:val="a"/>
    <w:link w:val="Char"/>
    <w:uiPriority w:val="11"/>
    <w:qFormat/>
    <w:rsid w:val="00A0286B"/>
    <w:pPr>
      <w:ind w:firstLineChars="200" w:firstLine="200"/>
      <w:outlineLvl w:val="1"/>
    </w:pPr>
    <w:rPr>
      <w:rFonts w:asciiTheme="majorHAnsi" w:eastAsia="仿宋" w:hAnsiTheme="majorHAnsi" w:cstheme="majorBidi"/>
      <w:bCs/>
      <w:kern w:val="28"/>
      <w:sz w:val="28"/>
      <w:szCs w:val="40"/>
      <w:lang w:bidi="mn-Mong-CN"/>
    </w:rPr>
  </w:style>
  <w:style w:type="character" w:customStyle="1" w:styleId="Char">
    <w:name w:val="副标题 Char"/>
    <w:aliases w:val="新闻正文 Char"/>
    <w:basedOn w:val="a0"/>
    <w:link w:val="a4"/>
    <w:uiPriority w:val="11"/>
    <w:rsid w:val="00A0286B"/>
    <w:rPr>
      <w:rFonts w:asciiTheme="majorHAnsi" w:eastAsia="仿宋" w:hAnsiTheme="majorHAnsi" w:cstheme="majorBidi"/>
      <w:bCs/>
      <w:kern w:val="28"/>
      <w:sz w:val="28"/>
      <w:szCs w:val="40"/>
    </w:rPr>
  </w:style>
  <w:style w:type="paragraph" w:styleId="a5">
    <w:name w:val="header"/>
    <w:basedOn w:val="a"/>
    <w:link w:val="Char0"/>
    <w:uiPriority w:val="99"/>
    <w:unhideWhenUsed/>
    <w:rsid w:val="00747D78"/>
    <w:pPr>
      <w:pBdr>
        <w:bottom w:val="single" w:sz="6" w:space="1" w:color="auto"/>
      </w:pBdr>
      <w:tabs>
        <w:tab w:val="center" w:pos="4153"/>
        <w:tab w:val="right" w:pos="8306"/>
      </w:tabs>
      <w:snapToGrid w:val="0"/>
      <w:jc w:val="center"/>
    </w:pPr>
    <w:rPr>
      <w:sz w:val="18"/>
      <w:szCs w:val="22"/>
      <w:lang w:bidi="mn-Mong-CN"/>
    </w:rPr>
  </w:style>
  <w:style w:type="character" w:customStyle="1" w:styleId="Char0">
    <w:name w:val="页眉 Char"/>
    <w:basedOn w:val="a0"/>
    <w:link w:val="a5"/>
    <w:uiPriority w:val="99"/>
    <w:rsid w:val="00747D78"/>
    <w:rPr>
      <w:sz w:val="18"/>
      <w:szCs w:val="22"/>
    </w:rPr>
  </w:style>
  <w:style w:type="paragraph" w:styleId="a6">
    <w:name w:val="footer"/>
    <w:basedOn w:val="a"/>
    <w:link w:val="Char1"/>
    <w:uiPriority w:val="99"/>
    <w:unhideWhenUsed/>
    <w:rsid w:val="00747D78"/>
    <w:pPr>
      <w:tabs>
        <w:tab w:val="center" w:pos="4153"/>
        <w:tab w:val="right" w:pos="8306"/>
      </w:tabs>
      <w:snapToGrid w:val="0"/>
      <w:jc w:val="left"/>
    </w:pPr>
    <w:rPr>
      <w:sz w:val="18"/>
      <w:szCs w:val="22"/>
      <w:lang w:bidi="mn-Mong-CN"/>
    </w:rPr>
  </w:style>
  <w:style w:type="character" w:customStyle="1" w:styleId="Char1">
    <w:name w:val="页脚 Char"/>
    <w:basedOn w:val="a0"/>
    <w:link w:val="a6"/>
    <w:uiPriority w:val="99"/>
    <w:rsid w:val="00747D78"/>
    <w:rPr>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D78"/>
    <w:pPr>
      <w:widowControl w:val="0"/>
      <w:jc w:val="both"/>
    </w:pPr>
    <w:rPr>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新闻标题"/>
    <w:uiPriority w:val="1"/>
    <w:qFormat/>
    <w:rsid w:val="00295C5E"/>
    <w:pPr>
      <w:widowControl w:val="0"/>
      <w:jc w:val="center"/>
    </w:pPr>
    <w:rPr>
      <w:rFonts w:eastAsia="微软雅黑"/>
      <w:sz w:val="44"/>
    </w:rPr>
  </w:style>
  <w:style w:type="paragraph" w:styleId="a4">
    <w:name w:val="Subtitle"/>
    <w:aliases w:val="新闻正文"/>
    <w:basedOn w:val="a"/>
    <w:next w:val="a"/>
    <w:link w:val="Char"/>
    <w:uiPriority w:val="11"/>
    <w:qFormat/>
    <w:rsid w:val="00A0286B"/>
    <w:pPr>
      <w:ind w:firstLineChars="200" w:firstLine="200"/>
      <w:outlineLvl w:val="1"/>
    </w:pPr>
    <w:rPr>
      <w:rFonts w:asciiTheme="majorHAnsi" w:eastAsia="仿宋" w:hAnsiTheme="majorHAnsi" w:cstheme="majorBidi"/>
      <w:bCs/>
      <w:kern w:val="28"/>
      <w:sz w:val="28"/>
      <w:szCs w:val="40"/>
      <w:lang w:bidi="mn-Mong-CN"/>
    </w:rPr>
  </w:style>
  <w:style w:type="character" w:customStyle="1" w:styleId="Char">
    <w:name w:val="副标题 Char"/>
    <w:aliases w:val="新闻正文 Char"/>
    <w:basedOn w:val="a0"/>
    <w:link w:val="a4"/>
    <w:uiPriority w:val="11"/>
    <w:rsid w:val="00A0286B"/>
    <w:rPr>
      <w:rFonts w:asciiTheme="majorHAnsi" w:eastAsia="仿宋" w:hAnsiTheme="majorHAnsi" w:cstheme="majorBidi"/>
      <w:bCs/>
      <w:kern w:val="28"/>
      <w:sz w:val="28"/>
      <w:szCs w:val="40"/>
    </w:rPr>
  </w:style>
  <w:style w:type="paragraph" w:styleId="a5">
    <w:name w:val="header"/>
    <w:basedOn w:val="a"/>
    <w:link w:val="Char0"/>
    <w:uiPriority w:val="99"/>
    <w:unhideWhenUsed/>
    <w:rsid w:val="00747D78"/>
    <w:pPr>
      <w:pBdr>
        <w:bottom w:val="single" w:sz="6" w:space="1" w:color="auto"/>
      </w:pBdr>
      <w:tabs>
        <w:tab w:val="center" w:pos="4153"/>
        <w:tab w:val="right" w:pos="8306"/>
      </w:tabs>
      <w:snapToGrid w:val="0"/>
      <w:jc w:val="center"/>
    </w:pPr>
    <w:rPr>
      <w:sz w:val="18"/>
      <w:szCs w:val="22"/>
      <w:lang w:bidi="mn-Mong-CN"/>
    </w:rPr>
  </w:style>
  <w:style w:type="character" w:customStyle="1" w:styleId="Char0">
    <w:name w:val="页眉 Char"/>
    <w:basedOn w:val="a0"/>
    <w:link w:val="a5"/>
    <w:uiPriority w:val="99"/>
    <w:rsid w:val="00747D78"/>
    <w:rPr>
      <w:sz w:val="18"/>
      <w:szCs w:val="22"/>
    </w:rPr>
  </w:style>
  <w:style w:type="paragraph" w:styleId="a6">
    <w:name w:val="footer"/>
    <w:basedOn w:val="a"/>
    <w:link w:val="Char1"/>
    <w:uiPriority w:val="99"/>
    <w:unhideWhenUsed/>
    <w:rsid w:val="00747D78"/>
    <w:pPr>
      <w:tabs>
        <w:tab w:val="center" w:pos="4153"/>
        <w:tab w:val="right" w:pos="8306"/>
      </w:tabs>
      <w:snapToGrid w:val="0"/>
      <w:jc w:val="left"/>
    </w:pPr>
    <w:rPr>
      <w:sz w:val="18"/>
      <w:szCs w:val="22"/>
      <w:lang w:bidi="mn-Mong-CN"/>
    </w:rPr>
  </w:style>
  <w:style w:type="character" w:customStyle="1" w:styleId="Char1">
    <w:name w:val="页脚 Char"/>
    <w:basedOn w:val="a0"/>
    <w:link w:val="a6"/>
    <w:uiPriority w:val="99"/>
    <w:rsid w:val="00747D78"/>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bdsj.nmg.gov.cn/gdj_zwgk/gdj_zfxxgk/gdj_zfxxgk_fdzdgk/gdj_zcjd1/202501/t20250108_265002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2197</Words>
  <Characters>12523</Characters>
  <Application>Microsoft Office Word</Application>
  <DocSecurity>0</DocSecurity>
  <Lines>104</Lines>
  <Paragraphs>29</Paragraphs>
  <ScaleCrop>false</ScaleCrop>
  <Company>Menk</Company>
  <LinksUpToDate>false</LinksUpToDate>
  <CharactersWithSpaces>14691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ZHIHVI</dc:creator>
  <cp:keywords/>
  <dc:description/>
  <cp:lastModifiedBy>ZHIHVI</cp:lastModifiedBy>
  <cp:revision>2</cp:revision>
  <dcterms:created xsi:type="dcterms:W3CDTF">2025-01-10T06:23:00Z</dcterms:created>
  <dcterms:modified xsi:type="dcterms:W3CDTF">2025-01-10T06:23:00Z</dcterms:modified>
</cp:coreProperties>
</file>