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附件</w:t>
      </w:r>
    </w:p>
    <w:p>
      <w:pPr>
        <w:wordWrap w:val="0"/>
        <w:spacing w:line="560" w:lineRule="exact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中选产品协议采购量确定</w:t>
      </w:r>
      <w:r>
        <w:rPr>
          <w:rFonts w:hint="eastAsia" w:ascii="Times New Roman" w:hAnsi="Times New Roman" w:eastAsia="黑体" w:cs="Times New Roman"/>
          <w:sz w:val="44"/>
          <w:szCs w:val="44"/>
        </w:rPr>
        <w:t>规则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分两步确定每一家医疗机构每一个中选产品的协议采购量。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第一步：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医疗机构填报采购需求量的产品若在中选范围，根据以下规则按比例分配采购需求量。申报企业按中选排名由低到高进行排序，排序前40%（具体数量向上取整）的企业为A类，按采购需求量的95%分量；排序40%（具体数量向上取整再加1）至70%（具体数量向上取整）的企业为B类，按采购需求量的85%分量；其他中选企业为C类，按采购需求量的65%分量（详见下表）。</w:t>
      </w:r>
    </w:p>
    <w:tbl>
      <w:tblPr>
        <w:tblStyle w:val="3"/>
        <w:tblW w:w="50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6"/>
        <w:gridCol w:w="2752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/>
                <w:bCs/>
                <w:sz w:val="28"/>
                <w:szCs w:val="32"/>
              </w:rPr>
              <w:t>中选</w:t>
            </w: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企业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/>
                <w:bCs/>
                <w:sz w:val="28"/>
                <w:szCs w:val="32"/>
              </w:rPr>
              <w:t>分配量占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/>
                <w:bCs/>
                <w:sz w:val="28"/>
                <w:szCs w:val="32"/>
              </w:rPr>
              <w:t>医疗机构</w:t>
            </w: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需求</w:t>
            </w:r>
            <w:r>
              <w:rPr>
                <w:rFonts w:ascii="Times New Roman" w:hAnsi="Times New Roman" w:eastAsia="黑体"/>
                <w:bCs/>
                <w:sz w:val="28"/>
                <w:szCs w:val="32"/>
              </w:rPr>
              <w:t>量比例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待分配量占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医疗机构需求量比例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A类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32"/>
              </w:rPr>
              <w:t>95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%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B类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32"/>
              </w:rPr>
              <w:t>85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%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1</w:t>
            </w:r>
            <w:r>
              <w:rPr>
                <w:rFonts w:ascii="Times New Roman" w:hAnsi="Times New Roman" w:eastAsia="仿宋_GB2312" w:cs="仿宋_GB2312"/>
                <w:sz w:val="28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C类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32"/>
              </w:rPr>
              <w:t>65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%</w:t>
            </w:r>
          </w:p>
        </w:tc>
        <w:tc>
          <w:tcPr>
            <w:tcW w:w="158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3</w:t>
            </w:r>
            <w:r>
              <w:rPr>
                <w:rFonts w:ascii="Times New Roman" w:hAnsi="Times New Roman" w:eastAsia="仿宋_GB2312" w:cs="仿宋_GB2312"/>
                <w:sz w:val="28"/>
                <w:szCs w:val="32"/>
              </w:rPr>
              <w:t>0%</w:t>
            </w:r>
          </w:p>
        </w:tc>
      </w:tr>
    </w:tbl>
    <w:p>
      <w:pPr>
        <w:rPr>
          <w:rFonts w:ascii="Times New Roman" w:hAnsi="Times New Roman"/>
        </w:rPr>
      </w:pP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步：医疗机构填报采购需求量但未中选产品采购需求量的95%和未申报产品采购需求量的95%（如出现非整数则向上取整至个位）以及中选产品的待分配量共同组成剩余量，由医疗机构自主分配给A类企业以及本医疗机构已填报采购需求量企业中价格最低的企业，且分给A类企业的量不少于剩余量的50%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医疗机构分配关节骨水泥（含抗生素）产品剩余量时，只能选择关节骨水泥（含抗生素）产品；医疗机构分配关节骨水泥（不含抗生素）产品剩余量时，可以选择关节骨水泥（含抗生素）产品，也可以选择关节骨水泥（不含抗生素）产品。医疗机构按基础包分配产品剩余量时，按实际包装规格粉剂重量等比例转换至整包（不足一整包的，向上取整至整包）。</w:t>
      </w:r>
    </w:p>
    <w:p>
      <w:pPr>
        <w:wordWrap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中选企业被某一省份依据医药价格和招采信用评价制度评定为“严重”或“特别严重”失信等级的，该省份有权拒绝该中选企业。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DNlNmZkYmE3MTQ5OTlmMDhkNGU2ZDdiMjA4MjUifQ=="/>
    <w:docVar w:name="KSO_WPS_MARK_KEY" w:val="631e7642-7235-460d-9d9f-799159fe5533"/>
  </w:docVars>
  <w:rsids>
    <w:rsidRoot w:val="74CC5CFD"/>
    <w:rsid w:val="242028F4"/>
    <w:rsid w:val="74C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2023-06-18T14:42:00Z</dcterms:created>
  <dc:creator>蕊</dc:creator>
  <cp:lastModifiedBy>蕊</cp:lastModifiedBy>
  <dcterms:modified xsi:type="dcterms:W3CDTF">2023-06-18T14:52:00Z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59350124FFC747A2BB98D0373FF6AEDD</vt:lpwstr>
  </property>
</Properties>
</file>