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6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spacing w:val="6"/>
          <w:kern w:val="2"/>
          <w:sz w:val="44"/>
          <w:szCs w:val="44"/>
          <w:lang w:val="en-US" w:eastAsia="zh-CN" w:bidi="ar-SA"/>
        </w:rPr>
        <w:t>2023年体外诊断试剂</w:t>
      </w:r>
      <w:r>
        <w:rPr>
          <w:rFonts w:hint="eastAsia" w:ascii="仿宋_GB2312" w:hAnsi="仿宋_GB2312" w:eastAsia="仿宋_GB2312" w:cs="仿宋_GB2312"/>
          <w:b/>
          <w:bCs/>
          <w:spacing w:val="6"/>
          <w:kern w:val="2"/>
          <w:sz w:val="44"/>
          <w:szCs w:val="44"/>
          <w:lang w:val="en-US" w:eastAsia="zh-CN" w:bidi="ar-SA"/>
        </w:rPr>
        <w:t>省际联盟集中带量采购中选产品协议量分量规则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84" w:rightChars="40" w:firstLine="624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医疗机构的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需求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量（即填报量）的90%（若为小数，向上取整）作为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意向采购量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84" w:rightChars="40" w:firstLine="624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医疗机构报送需求的产品若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中选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，对应意向采购量全部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协议采购量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84" w:rightChars="40"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医疗机构报送需求的产品若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未中选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产品，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对应的意向采购量作为待分配量，医疗机构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优先选择中选排名最高的企业产品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在中选企业中自行选择。A组和B组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不互通。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84" w:rightChars="40"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拟中选规则二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增补的中选企业，不参与待分配量的分配。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84" w:rightChars="40"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性激素六项、传染病八项、糖代谢两项的C组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中选产品不分量。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TY0Nzc3NDkyMWQ5YWZmM2RiY2U0MGIzNzE1MmUifQ=="/>
  </w:docVars>
  <w:rsids>
    <w:rsidRoot w:val="32DB793E"/>
    <w:rsid w:val="2D3C5CAA"/>
    <w:rsid w:val="32DB793E"/>
    <w:rsid w:val="593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2024-04-10T06:48:00Z</dcterms:created>
  <dc:creator>王蕊</dc:creator>
  <cp:lastModifiedBy>王蕊</cp:lastModifiedBy>
  <dcterms:modified xsi:type="dcterms:W3CDTF">2024-05-17T08:15:41Z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2B21D423A171405CA426FC1886FD3AA1_13</vt:lpwstr>
  </property>
</Properties>
</file>