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80" w:lineRule="exact"/>
        <w:ind w:left="0" w:leftChars="0" w:right="0" w:firstLine="0" w:firstLineChars="0"/>
        <w:jc w:val="center"/>
        <w:rPr>
          <w:rFonts w:hint="eastAsia" w:ascii="方正小标宋简体" w:hAnsi="方正小标宋简体" w:eastAsia="方正小标宋简体" w:cs="方正小标宋简体"/>
          <w:b w:val="0"/>
          <w:bCs w:val="0"/>
          <w:kern w:val="0"/>
          <w:sz w:val="44"/>
          <w:szCs w:val="44"/>
          <w:bdr w:val="none" w:color="auto" w:sz="0" w:space="0"/>
          <w:shd w:val="clear" w:fill="FFFFFF"/>
        </w:rPr>
      </w:pPr>
      <w:bookmarkStart w:id="0" w:name="_GoBack"/>
      <w:r>
        <w:rPr>
          <w:rFonts w:hint="eastAsia" w:ascii="方正小标宋简体" w:hAnsi="方正小标宋简体" w:eastAsia="方正小标宋简体" w:cs="方正小标宋简体"/>
          <w:b w:val="0"/>
          <w:bCs w:val="0"/>
          <w:kern w:val="0"/>
          <w:sz w:val="44"/>
          <w:szCs w:val="44"/>
          <w:bdr w:val="none" w:color="auto" w:sz="0" w:space="0"/>
          <w:shd w:val="clear" w:fill="FFFFFF"/>
        </w:rPr>
        <w:t>内蒙古自治区医疗保障领域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80" w:lineRule="exact"/>
        <w:ind w:left="0" w:leftChars="0" w:right="0" w:firstLine="0" w:firstLineChars="0"/>
        <w:jc w:val="center"/>
        <w:rPr>
          <w:rFonts w:hint="eastAsia" w:ascii="方正小标宋简体" w:hAnsi="方正小标宋简体" w:eastAsia="方正小标宋简体" w:cs="方正小标宋简体"/>
          <w:b w:val="0"/>
          <w:bCs w:val="0"/>
          <w:i w:val="0"/>
          <w:iCs w:val="0"/>
          <w:caps w:val="0"/>
          <w:color w:val="000000"/>
          <w:spacing w:val="0"/>
          <w:kern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000000"/>
          <w:spacing w:val="0"/>
          <w:kern w:val="0"/>
          <w:sz w:val="44"/>
          <w:szCs w:val="44"/>
          <w:bdr w:val="none" w:color="auto" w:sz="0" w:space="0"/>
          <w:shd w:val="clear" w:fill="FFFFFF"/>
        </w:rPr>
        <w:t>依法分类处理信访诉求事项清单</w:t>
      </w:r>
    </w:p>
    <w:bookmarkEnd w:id="0"/>
    <w:p>
      <w:pPr>
        <w:keepNext w:val="0"/>
        <w:keepLines w:val="0"/>
        <w:widowControl w:val="0"/>
        <w:suppressLineNumbers w:val="0"/>
        <w:autoSpaceDE w:val="0"/>
        <w:autoSpaceDN/>
        <w:spacing w:before="0" w:beforeAutospacing="0" w:after="0" w:afterAutospacing="0"/>
        <w:ind w:left="0" w:leftChars="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根据自治区信访工作联席会议办公室《关于制定修订依法分类处理信访诉求清单的通知》要求，为进一步厘清信访与其他法定途径之间的受理范围，对信访人反映的问题，优先运用法治思维、法治方式进行处理，现制定我局依法分类处理信访诉求清单。</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一、申诉求决类事项</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楷体" w:hAnsi="楷体" w:eastAsia="楷体" w:cs="楷体"/>
          <w:kern w:val="2"/>
          <w:sz w:val="32"/>
          <w:szCs w:val="32"/>
        </w:rPr>
      </w:pPr>
      <w:r>
        <w:rPr>
          <w:rFonts w:hint="eastAsia" w:ascii="楷体" w:hAnsi="楷体" w:eastAsia="楷体" w:cs="楷体"/>
          <w:kern w:val="2"/>
          <w:sz w:val="32"/>
          <w:szCs w:val="32"/>
        </w:rPr>
        <w:t>（一）不服医保行政部门作出的具体行政行为</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具体诉求情形如下：</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1.对骗取医保基金（医疗救助资金）行为作出的行政处罚决定不服的；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2.对违反医疗保障有关规定，且拒不改正相应行为作出的行政处罚决定不服的；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3.对用人单位不办理医疗保险和生育保险登记、未按规定变更登记或注销登记以及伪造、变造登记证明行为作出的行政处罚决定不服的；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4.对纳入医疗保障范围的医药价格违法违规行为作出的行政处罚决定不服的；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5.对参加药品（耗材）采购投标的投标人的违法行为作出的行政处罚决定不服的；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6.对可能被转移、隐匿或者灭失的医疗保险基金相关资料进行封存的行政强制决定不服的；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7.对按照国家有关规定实施信用惩戒不服的。</w:t>
      </w:r>
    </w:p>
    <w:p>
      <w:pPr>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法定途径：</w:t>
      </w:r>
      <w:r>
        <w:rPr>
          <w:rFonts w:hint="eastAsia" w:ascii="仿宋" w:hAnsi="仿宋" w:eastAsia="仿宋" w:cs="仿宋"/>
          <w:kern w:val="2"/>
          <w:sz w:val="32"/>
          <w:szCs w:val="32"/>
          <w:lang w:val="en-US" w:eastAsia="zh-CN" w:bidi="ar"/>
        </w:rPr>
        <w:t>行政复议或行政诉讼。</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仿宋" w:hAnsi="仿宋" w:eastAsia="仿宋" w:cs="仿宋"/>
          <w:kern w:val="2"/>
          <w:sz w:val="32"/>
          <w:szCs w:val="32"/>
        </w:rPr>
      </w:pPr>
      <w:r>
        <w:rPr>
          <w:rFonts w:hint="eastAsia" w:ascii="仿宋" w:hAnsi="仿宋" w:eastAsia="仿宋" w:cs="仿宋"/>
          <w:b/>
          <w:bCs/>
          <w:kern w:val="2"/>
          <w:sz w:val="32"/>
          <w:szCs w:val="32"/>
        </w:rPr>
        <w:t>主要政策法规依据：</w:t>
      </w:r>
      <w:r>
        <w:rPr>
          <w:rFonts w:hint="eastAsia" w:ascii="仿宋" w:hAnsi="仿宋" w:eastAsia="仿宋" w:cs="仿宋"/>
          <w:kern w:val="2"/>
          <w:sz w:val="32"/>
          <w:szCs w:val="32"/>
        </w:rPr>
        <w:t>《中华人民共和国行政复议法》、《中华人民共和国行政诉讼法》、《中华人民共和国社会保险法》、《中华人民共和国基本医疗卫生与健康促进法》、《中华人民共和国价格法》、《医疗保障基金使用监督管理条例》、《社会保险经办条例》《社会救助暂行办法》等。</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楷体" w:hAnsi="楷体" w:eastAsia="楷体" w:cs="楷体"/>
          <w:kern w:val="2"/>
          <w:sz w:val="32"/>
          <w:szCs w:val="32"/>
        </w:rPr>
      </w:pPr>
      <w:r>
        <w:rPr>
          <w:rFonts w:hint="eastAsia" w:ascii="楷体" w:hAnsi="楷体" w:eastAsia="楷体" w:cs="楷体"/>
          <w:kern w:val="2"/>
          <w:sz w:val="32"/>
          <w:szCs w:val="32"/>
        </w:rPr>
        <w:t>（二）认为医保经办机构在医保经办工作中侵害其医保权益的</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具体诉求情形如下：</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1.认为医保经办机构不依法办理医保参保登记、支付医保待遇、办理医保转移接续手续或者侵害其他医保权益的行为；</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2.对基本医疗保险参保和变更登记类业务办理存在争议的；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3.对基本医疗保险参保信息查询和个人账户一次性支取类业务办理存在争议的；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4.对基本医疗保险关系转移接续类业务办理存在争议的；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5.对基本医疗保险参保人员异地就医备案类业务办理存在争议的；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6.对基本医疗保险参保人员享受门诊慢特病病种待遇认定类业务办理存在争议的；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7.对基本医疗保险待遇核准支付类业务办理存在争议的；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8.对生育保险待遇核准支付类业务办理存在争议的；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9.对医疗救助对象待遇核准支付类业务办理存在争议的；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10.对长期护理保险待遇核准支付类业务办理存在争议的；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11.对申请定点协议管理类业务办理存在争议的；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12.对定点机构费用结算类业务办理存在争议的。</w:t>
      </w:r>
    </w:p>
    <w:p>
      <w:pPr>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法定途径：</w:t>
      </w:r>
      <w:r>
        <w:rPr>
          <w:rFonts w:hint="eastAsia" w:ascii="仿宋" w:hAnsi="仿宋" w:eastAsia="仿宋" w:cs="仿宋"/>
          <w:kern w:val="2"/>
          <w:sz w:val="32"/>
          <w:szCs w:val="32"/>
          <w:lang w:val="en-US" w:eastAsia="zh-CN" w:bidi="ar"/>
        </w:rPr>
        <w:t>行政复议或行政诉讼。</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仿宋" w:hAnsi="仿宋" w:eastAsia="仿宋" w:cs="仿宋"/>
          <w:kern w:val="2"/>
          <w:sz w:val="32"/>
          <w:szCs w:val="32"/>
        </w:rPr>
      </w:pPr>
      <w:r>
        <w:rPr>
          <w:rFonts w:hint="eastAsia" w:ascii="仿宋" w:hAnsi="仿宋" w:eastAsia="仿宋" w:cs="仿宋"/>
          <w:b/>
          <w:bCs/>
          <w:kern w:val="2"/>
          <w:sz w:val="32"/>
          <w:szCs w:val="32"/>
        </w:rPr>
        <w:t>主要政策法规依据：</w:t>
      </w:r>
      <w:r>
        <w:rPr>
          <w:rFonts w:hint="eastAsia" w:ascii="仿宋" w:hAnsi="仿宋" w:eastAsia="仿宋" w:cs="仿宋"/>
          <w:kern w:val="2"/>
          <w:sz w:val="32"/>
          <w:szCs w:val="32"/>
        </w:rPr>
        <w:t>《中华人民共和国行政复议法》、《中华人民共和国行政诉讼法》、《中华人民共和国社会保险法》、《社会保险经办条例》、《社会救助暂行办法》、《医疗机构医疗保障定点管理暂行办法》、《零售药店医疗保障定点管理暂行办法》等。</w:t>
      </w:r>
    </w:p>
    <w:p>
      <w:pPr>
        <w:keepNext w:val="0"/>
        <w:keepLines w:val="0"/>
        <w:widowControl w:val="0"/>
        <w:suppressLineNumbers w:val="0"/>
        <w:spacing w:before="0" w:beforeAutospacing="0" w:after="0" w:afterAutospacing="0" w:line="560" w:lineRule="exact"/>
        <w:ind w:left="0" w:right="0" w:firstLine="64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二、检举控告类事项</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（一）检举控告医疗保障领域医保基金管理使用、医药价格和药品（耗材）采购投标等违法违规行为的</w:t>
      </w:r>
    </w:p>
    <w:p>
      <w:pPr>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具体诉求情形如下：</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1.举报投诉定点机构、个人、医保经办机构医保基金管理使用违规违法行为的；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2.举报投诉纳入医保范围的医药价格违法违规行为的；</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3.举报投诉参加药品（耗材）采购投标的投标人违法行为的。</w:t>
      </w:r>
    </w:p>
    <w:p>
      <w:pPr>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法定途径：</w:t>
      </w:r>
      <w:r>
        <w:rPr>
          <w:rFonts w:hint="eastAsia" w:ascii="仿宋" w:hAnsi="仿宋" w:eastAsia="仿宋" w:cs="仿宋"/>
          <w:kern w:val="2"/>
          <w:sz w:val="32"/>
          <w:szCs w:val="32"/>
          <w:lang w:val="en-US" w:eastAsia="zh-CN" w:bidi="ar"/>
        </w:rPr>
        <w:t>投诉举报。</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仿宋" w:hAnsi="仿宋" w:eastAsia="仿宋" w:cs="仿宋"/>
          <w:kern w:val="2"/>
          <w:sz w:val="32"/>
          <w:szCs w:val="32"/>
        </w:rPr>
      </w:pPr>
      <w:r>
        <w:rPr>
          <w:rFonts w:hint="eastAsia" w:ascii="仿宋" w:hAnsi="仿宋" w:eastAsia="仿宋" w:cs="仿宋"/>
          <w:b/>
          <w:bCs/>
          <w:kern w:val="2"/>
          <w:sz w:val="32"/>
          <w:szCs w:val="32"/>
        </w:rPr>
        <w:t>主要政策法规依据：</w:t>
      </w:r>
      <w:r>
        <w:rPr>
          <w:rFonts w:hint="eastAsia" w:ascii="仿宋" w:hAnsi="仿宋" w:eastAsia="仿宋" w:cs="仿宋"/>
          <w:kern w:val="2"/>
          <w:sz w:val="32"/>
          <w:szCs w:val="32"/>
        </w:rPr>
        <w:t>《中华人民共和国社会保险法》、《中华人民共和国基本医疗卫生与健康促进法》、《中华人民共和国价格法》、《医疗保障基金使用监督管理条例》、《社会保险经办条例》《社会救助暂行办法》等。</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（二）检举控告医疗保障领域其他违法违规行为的</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具体诉求情形如下：</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1.用人单位存在不办理医保参保登记、未按规定变更登记或注销登记以及伪造、变造登记证明行为；</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2.转移、隐匿或者灭失与医保基金收支、管理和投资运营相关的资料的行为。</w:t>
      </w:r>
    </w:p>
    <w:p>
      <w:pPr>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法定途径：</w:t>
      </w:r>
      <w:r>
        <w:rPr>
          <w:rFonts w:hint="eastAsia" w:ascii="仿宋" w:hAnsi="仿宋" w:eastAsia="仿宋" w:cs="仿宋"/>
          <w:kern w:val="2"/>
          <w:sz w:val="32"/>
          <w:szCs w:val="32"/>
          <w:lang w:val="en-US" w:eastAsia="zh-CN" w:bidi="ar"/>
        </w:rPr>
        <w:t>投诉举报。</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仿宋" w:hAnsi="仿宋" w:eastAsia="仿宋" w:cs="仿宋"/>
          <w:kern w:val="2"/>
          <w:sz w:val="32"/>
          <w:szCs w:val="32"/>
        </w:rPr>
      </w:pPr>
      <w:r>
        <w:rPr>
          <w:rFonts w:hint="eastAsia" w:ascii="仿宋" w:hAnsi="仿宋" w:eastAsia="仿宋" w:cs="仿宋"/>
          <w:b/>
          <w:bCs/>
          <w:kern w:val="2"/>
          <w:sz w:val="32"/>
          <w:szCs w:val="32"/>
        </w:rPr>
        <w:t>主要政策法规依据：</w:t>
      </w:r>
      <w:r>
        <w:rPr>
          <w:rFonts w:hint="eastAsia" w:ascii="仿宋" w:hAnsi="仿宋" w:eastAsia="仿宋" w:cs="仿宋"/>
          <w:kern w:val="2"/>
          <w:sz w:val="32"/>
          <w:szCs w:val="32"/>
        </w:rPr>
        <w:t>《中华人民共和国社会保险法》、《医疗保障基金使用监督管理条例》等。</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（三）检举党员干部违规违纪问题</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具体诉求情形如下：</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1.反映党员干部为亲属或关系户谋取不正当利益；</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2.违规提拔干部；</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3.索取或收受贿赂；</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4.生活作风问题；</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5.公款吃喝旅游等。</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法定途径：</w:t>
      </w:r>
      <w:r>
        <w:rPr>
          <w:rFonts w:hint="eastAsia" w:ascii="仿宋" w:hAnsi="仿宋" w:eastAsia="仿宋" w:cs="仿宋"/>
          <w:b w:val="0"/>
          <w:bCs w:val="0"/>
          <w:kern w:val="2"/>
          <w:sz w:val="32"/>
          <w:szCs w:val="32"/>
          <w:lang w:val="en-US" w:eastAsia="zh-CN" w:bidi="ar"/>
        </w:rPr>
        <w:t>控告申诉。</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b/>
          <w:bCs/>
          <w:kern w:val="2"/>
          <w:sz w:val="32"/>
          <w:szCs w:val="32"/>
        </w:rPr>
        <w:t>主要政策法规依据：</w:t>
      </w:r>
      <w:r>
        <w:rPr>
          <w:rFonts w:hint="eastAsia" w:ascii="仿宋" w:hAnsi="仿宋" w:eastAsia="仿宋" w:cs="仿宋"/>
          <w:kern w:val="2"/>
          <w:sz w:val="32"/>
          <w:szCs w:val="32"/>
        </w:rPr>
        <w:t>《中国共产党纪律检查机关控告申诉工作条例》。</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三、信息公开类事项</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firstLineChars="200"/>
        <w:rPr>
          <w:rFonts w:hint="eastAsia" w:ascii="楷体" w:hAnsi="楷体" w:eastAsia="楷体" w:cs="楷体"/>
          <w:kern w:val="2"/>
          <w:sz w:val="32"/>
          <w:szCs w:val="32"/>
        </w:rPr>
      </w:pPr>
      <w:r>
        <w:rPr>
          <w:rFonts w:hint="eastAsia" w:ascii="楷体" w:hAnsi="楷体" w:eastAsia="楷体" w:cs="楷体"/>
          <w:kern w:val="2"/>
          <w:sz w:val="32"/>
          <w:szCs w:val="32"/>
        </w:rPr>
        <w:t>（一）向医疗保障部门申请获取政府信息的</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具体诉求情形：</w:t>
      </w:r>
      <w:r>
        <w:rPr>
          <w:rFonts w:hint="eastAsia" w:ascii="仿宋" w:hAnsi="仿宋" w:eastAsia="仿宋" w:cs="仿宋"/>
          <w:kern w:val="2"/>
          <w:sz w:val="32"/>
          <w:szCs w:val="32"/>
          <w:lang w:val="en-US" w:eastAsia="zh-CN" w:bidi="ar"/>
        </w:rPr>
        <w:t>申请获取医疗保障领域符合《中华人民共和国政府信息公开条例》公开范围的法律法规、规章和规范性文件，医保政务事项办理依据、条件、程序及办理结果，医保目录等医保信息。</w:t>
      </w:r>
    </w:p>
    <w:p>
      <w:pPr>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法定途径：</w:t>
      </w:r>
      <w:r>
        <w:rPr>
          <w:rFonts w:hint="eastAsia" w:ascii="仿宋" w:hAnsi="仿宋" w:eastAsia="仿宋" w:cs="仿宋"/>
          <w:kern w:val="2"/>
          <w:sz w:val="32"/>
          <w:szCs w:val="32"/>
          <w:lang w:val="en-US" w:eastAsia="zh-CN" w:bidi="ar"/>
        </w:rPr>
        <w:t>信息公开。</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仿宋" w:hAnsi="仿宋" w:eastAsia="仿宋" w:cs="仿宋"/>
          <w:kern w:val="2"/>
          <w:sz w:val="32"/>
          <w:szCs w:val="32"/>
        </w:rPr>
      </w:pPr>
      <w:r>
        <w:rPr>
          <w:rFonts w:hint="eastAsia" w:ascii="仿宋" w:hAnsi="仿宋" w:eastAsia="仿宋" w:cs="仿宋"/>
          <w:b/>
          <w:bCs/>
          <w:kern w:val="2"/>
          <w:sz w:val="32"/>
          <w:szCs w:val="32"/>
        </w:rPr>
        <w:t>主要政策法规依据：</w:t>
      </w:r>
      <w:r>
        <w:rPr>
          <w:rFonts w:hint="eastAsia" w:ascii="仿宋" w:hAnsi="仿宋" w:eastAsia="仿宋" w:cs="仿宋"/>
          <w:kern w:val="2"/>
          <w:sz w:val="32"/>
          <w:szCs w:val="32"/>
        </w:rPr>
        <w:t>《中华人民共和国行政复议法》、《中华人民共和国政府信息公开条例》等。</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firstLineChars="200"/>
        <w:rPr>
          <w:rFonts w:hint="eastAsia" w:ascii="楷体" w:hAnsi="楷体" w:eastAsia="楷体" w:cs="楷体"/>
          <w:kern w:val="2"/>
          <w:sz w:val="32"/>
          <w:szCs w:val="32"/>
        </w:rPr>
      </w:pPr>
      <w:r>
        <w:rPr>
          <w:rFonts w:hint="eastAsia" w:ascii="楷体" w:hAnsi="楷体" w:eastAsia="楷体" w:cs="楷体"/>
          <w:kern w:val="2"/>
          <w:sz w:val="32"/>
          <w:szCs w:val="32"/>
        </w:rPr>
        <w:t>（二）对医疗保障部门政府信息公开工作中的行政行为存在异议的</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具体诉求情形：</w:t>
      </w:r>
      <w:r>
        <w:rPr>
          <w:rFonts w:hint="eastAsia" w:ascii="仿宋" w:hAnsi="仿宋" w:eastAsia="仿宋" w:cs="仿宋"/>
          <w:kern w:val="2"/>
          <w:sz w:val="32"/>
          <w:szCs w:val="32"/>
          <w:lang w:val="en-US" w:eastAsia="zh-CN" w:bidi="ar"/>
        </w:rPr>
        <w:t>认为医疗保障部门未按要求主动公开政府信息或者对政府信息公开申请不依法答复处理的。</w:t>
      </w:r>
    </w:p>
    <w:p>
      <w:pPr>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法定途径：</w:t>
      </w:r>
      <w:r>
        <w:rPr>
          <w:rFonts w:hint="eastAsia" w:ascii="仿宋" w:hAnsi="仿宋" w:eastAsia="仿宋" w:cs="仿宋"/>
          <w:kern w:val="2"/>
          <w:sz w:val="32"/>
          <w:szCs w:val="32"/>
          <w:lang w:val="en-US" w:eastAsia="zh-CN" w:bidi="ar"/>
        </w:rPr>
        <w:t>行政复议或行政诉讼。</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仿宋" w:hAnsi="仿宋" w:eastAsia="仿宋" w:cs="仿宋"/>
          <w:kern w:val="2"/>
          <w:sz w:val="32"/>
          <w:szCs w:val="32"/>
        </w:rPr>
      </w:pPr>
      <w:r>
        <w:rPr>
          <w:rFonts w:hint="eastAsia" w:ascii="仿宋" w:hAnsi="仿宋" w:eastAsia="仿宋" w:cs="仿宋"/>
          <w:b/>
          <w:bCs/>
          <w:kern w:val="2"/>
          <w:sz w:val="32"/>
          <w:szCs w:val="32"/>
        </w:rPr>
        <w:t>主要政策法规依据：</w:t>
      </w:r>
      <w:r>
        <w:rPr>
          <w:rFonts w:hint="eastAsia" w:ascii="仿宋" w:hAnsi="仿宋" w:eastAsia="仿宋" w:cs="仿宋"/>
          <w:kern w:val="2"/>
          <w:sz w:val="32"/>
          <w:szCs w:val="32"/>
        </w:rPr>
        <w:t>《中华人民共和国行政复议法》《中华人民共和国政府信息公开条例》等。</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四、反映的情况、提出的建议意见类事项</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具体诉求情形如下：</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1.对医疗保障工作的意见建议；</w:t>
      </w:r>
    </w:p>
    <w:p>
      <w:pPr>
        <w:pStyle w:val="22"/>
        <w:keepNext w:val="0"/>
        <w:keepLines w:val="0"/>
        <w:widowControl w:val="0"/>
        <w:suppressLineNumbers w:val="0"/>
        <w:autoSpaceDE w:val="0"/>
        <w:autoSpaceDN/>
        <w:spacing w:before="0" w:beforeAutospacing="1" w:after="0" w:afterAutospacing="0" w:line="560" w:lineRule="exact"/>
        <w:ind w:left="0" w:right="0" w:firstLine="640"/>
        <w:rPr>
          <w:rFonts w:hint="eastAsia" w:ascii="仿宋" w:hAnsi="仿宋" w:eastAsia="仿宋" w:cs="仿宋"/>
          <w:kern w:val="2"/>
          <w:sz w:val="32"/>
          <w:szCs w:val="32"/>
        </w:rPr>
      </w:pPr>
      <w:r>
        <w:rPr>
          <w:rFonts w:hint="eastAsia" w:ascii="仿宋" w:hAnsi="仿宋" w:eastAsia="仿宋" w:cs="仿宋"/>
          <w:kern w:val="2"/>
          <w:sz w:val="32"/>
          <w:szCs w:val="32"/>
        </w:rPr>
        <w:t>2.无法导入其他法定途径处理的信访问题。</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法定途径：</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对信访人反映的情况、提出的建议意见类事项，有权处理的医疗保障部门应当认真研究论证。对科学合理、具有现实可行性的，应当采纳或者部分采纳，并予以回复。对于暂不具备实施条件的，可留存参阅并以适当方式告知信访人。</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对无法导入其他法定途径处理的信访问题，按《信访工作条例》规定及时受理办理。</w:t>
      </w:r>
    </w:p>
    <w:p>
      <w:pPr>
        <w:pStyle w:val="11"/>
        <w:keepNext w:val="0"/>
        <w:keepLines w:val="0"/>
        <w:widowControl w:val="0"/>
        <w:suppressLineNumbers w:val="0"/>
        <w:autoSpaceDE w:val="0"/>
        <w:autoSpaceDN/>
        <w:spacing w:before="0" w:beforeAutospacing="1" w:after="0" w:afterAutospacing="1" w:line="560" w:lineRule="exact"/>
        <w:ind w:left="0" w:leftChars="0" w:right="0" w:firstLine="640"/>
        <w:rPr>
          <w:rFonts w:hint="eastAsia" w:ascii="仿宋" w:hAnsi="仿宋" w:eastAsia="仿宋" w:cs="仿宋"/>
          <w:kern w:val="2"/>
          <w:sz w:val="32"/>
          <w:szCs w:val="32"/>
        </w:rPr>
      </w:pPr>
      <w:r>
        <w:rPr>
          <w:rFonts w:hint="eastAsia" w:ascii="仿宋" w:hAnsi="仿宋" w:eastAsia="仿宋" w:cs="仿宋"/>
          <w:b/>
          <w:bCs/>
          <w:kern w:val="2"/>
          <w:sz w:val="32"/>
          <w:szCs w:val="32"/>
        </w:rPr>
        <w:t>主要政策法规依据：</w:t>
      </w:r>
      <w:r>
        <w:rPr>
          <w:rFonts w:hint="eastAsia" w:ascii="仿宋" w:hAnsi="仿宋" w:eastAsia="仿宋" w:cs="仿宋"/>
          <w:kern w:val="2"/>
          <w:sz w:val="32"/>
          <w:szCs w:val="32"/>
        </w:rPr>
        <w:t>《信访工作条例》、《国家信访局关于印发&lt;依法分类处理信访诉求工作规则&gt;的通知》等。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66721B-9EFA-4CC6-966F-F5590FF323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89521C77-47CD-45E4-81E7-FC42E9DF7D0A}"/>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3" w:fontKey="{9A73AD44-5B2F-43E6-BFB0-776056B546CD}"/>
  </w:font>
  <w:font w:name="仿宋">
    <w:panose1 w:val="02010609060101010101"/>
    <w:charset w:val="86"/>
    <w:family w:val="auto"/>
    <w:pitch w:val="default"/>
    <w:sig w:usb0="800002BF" w:usb1="38CF7CFA" w:usb2="00000016" w:usb3="00000000" w:csb0="00040001" w:csb1="00000000"/>
    <w:embedRegular r:id="rId4" w:fontKey="{3852F096-8096-4438-9FD8-27E1AFEB02D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67D3A"/>
    <w:multiLevelType w:val="multilevel"/>
    <w:tmpl w:val="82D67D3A"/>
    <w:lvl w:ilvl="0" w:tentative="0">
      <w:start w:val="1"/>
      <w:numFmt w:val="chineseCounting"/>
      <w:suff w:val="nothing"/>
      <w:lvlText w:val="（%1）"/>
      <w:lvlJc w:val="left"/>
      <w:pPr>
        <w:ind w:left="0" w:firstLine="420"/>
      </w:pPr>
      <w:rPr>
        <w:rFonts w:hint="eastAsia"/>
      </w:rPr>
    </w:lvl>
    <w:lvl w:ilvl="1" w:tentative="0">
      <w:start w:val="1"/>
      <w:numFmt w:val="decimal"/>
      <w:pStyle w:val="18"/>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8FDF0DC0"/>
    <w:multiLevelType w:val="multilevel"/>
    <w:tmpl w:val="8FDF0DC0"/>
    <w:lvl w:ilvl="0" w:tentative="0">
      <w:start w:val="1"/>
      <w:numFmt w:val="chineseCounting"/>
      <w:suff w:val="nothing"/>
      <w:lvlText w:val="第%1章 "/>
      <w:lvlJc w:val="left"/>
      <w:pPr>
        <w:tabs>
          <w:tab w:val="left" w:pos="420"/>
        </w:tabs>
        <w:ind w:left="432" w:hanging="432"/>
      </w:pPr>
      <w:rPr>
        <w:rFonts w:hint="eastAsia"/>
      </w:rPr>
    </w:lvl>
    <w:lvl w:ilvl="1" w:tentative="0">
      <w:start w:val="1"/>
      <w:numFmt w:val="decimal"/>
      <w:isLgl/>
      <w:lvlText w:val="%1.%2."/>
      <w:lvlJc w:val="left"/>
      <w:pPr>
        <w:tabs>
          <w:tab w:val="left" w:pos="420"/>
        </w:tabs>
        <w:ind w:left="575" w:hanging="575"/>
      </w:pPr>
      <w:rPr>
        <w:rFonts w:hint="eastAsia"/>
      </w:rPr>
    </w:lvl>
    <w:lvl w:ilvl="2" w:tentative="0">
      <w:start w:val="1"/>
      <w:numFmt w:val="decimal"/>
      <w:pStyle w:val="19"/>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9498AF77"/>
    <w:multiLevelType w:val="multilevel"/>
    <w:tmpl w:val="9498AF7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B8D2C5C6"/>
    <w:multiLevelType w:val="multilevel"/>
    <w:tmpl w:val="B8D2C5C6"/>
    <w:lvl w:ilvl="0" w:tentative="0">
      <w:start w:val="1"/>
      <w:numFmt w:val="decimal"/>
      <w:lvlText w:val="%1."/>
      <w:lvlJc w:val="left"/>
      <w:pPr>
        <w:ind w:left="425" w:hanging="425"/>
      </w:pPr>
      <w:rPr>
        <w:rFonts w:hint="default"/>
      </w:rPr>
    </w:lvl>
    <w:lvl w:ilvl="1" w:tentative="0">
      <w:start w:val="1"/>
      <w:numFmt w:val="decimal"/>
      <w:pStyle w:val="17"/>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BFCB8F27"/>
    <w:multiLevelType w:val="multilevel"/>
    <w:tmpl w:val="BFCB8F27"/>
    <w:lvl w:ilvl="0" w:tentative="0">
      <w:start w:val="1"/>
      <w:numFmt w:val="chineseCounting"/>
      <w:pStyle w:val="2"/>
      <w:suff w:val="nothing"/>
      <w:lvlText w:val="第%1章 "/>
      <w:lvlJc w:val="left"/>
      <w:pPr>
        <w:tabs>
          <w:tab w:val="left" w:pos="420"/>
        </w:tabs>
        <w:ind w:left="432" w:hanging="432"/>
      </w:pPr>
      <w:rPr>
        <w:rFonts w:hint="eastAsia"/>
      </w:rPr>
    </w:lvl>
    <w:lvl w:ilvl="1" w:tentative="0">
      <w:start w:val="1"/>
      <w:numFmt w:val="decimal"/>
      <w:pStyle w:val="3"/>
      <w:isLgl/>
      <w:lvlText w:val="%1.%2."/>
      <w:lvlJc w:val="left"/>
      <w:pPr>
        <w:tabs>
          <w:tab w:val="left" w:pos="420"/>
        </w:tabs>
        <w:ind w:left="575" w:hanging="575"/>
      </w:pPr>
      <w:rPr>
        <w:rFonts w:hint="eastAsia"/>
      </w:rPr>
    </w:lvl>
    <w:lvl w:ilvl="2" w:tentative="0">
      <w:start w:val="1"/>
      <w:numFmt w:val="decimal"/>
      <w:pStyle w:val="21"/>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20"/>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5">
    <w:nsid w:val="13BBDF9B"/>
    <w:multiLevelType w:val="singleLevel"/>
    <w:tmpl w:val="13BBDF9B"/>
    <w:lvl w:ilvl="0" w:tentative="0">
      <w:start w:val="2"/>
      <w:numFmt w:val="chineseCounting"/>
      <w:pStyle w:val="14"/>
      <w:suff w:val="nothing"/>
      <w:lvlText w:val="（%1）"/>
      <w:lvlJc w:val="left"/>
      <w:rPr>
        <w:rFonts w:hint="eastAsia"/>
      </w:rPr>
    </w:lvl>
  </w:abstractNum>
  <w:abstractNum w:abstractNumId="6">
    <w:nsid w:val="183B73D7"/>
    <w:multiLevelType w:val="singleLevel"/>
    <w:tmpl w:val="183B73D7"/>
    <w:lvl w:ilvl="0" w:tentative="0">
      <w:start w:val="2"/>
      <w:numFmt w:val="chineseCounting"/>
      <w:pStyle w:val="15"/>
      <w:suff w:val="nothing"/>
      <w:lvlText w:val="（%1）"/>
      <w:lvlJc w:val="left"/>
      <w:rPr>
        <w:rFonts w:hint="eastAsia"/>
      </w:rPr>
    </w:lvl>
  </w:abstractNum>
  <w:abstractNum w:abstractNumId="7">
    <w:nsid w:val="2A6D4AC3"/>
    <w:multiLevelType w:val="singleLevel"/>
    <w:tmpl w:val="2A6D4AC3"/>
    <w:lvl w:ilvl="0" w:tentative="0">
      <w:start w:val="2"/>
      <w:numFmt w:val="chineseCounting"/>
      <w:pStyle w:val="16"/>
      <w:suff w:val="nothing"/>
      <w:lvlText w:val="（%1）"/>
      <w:lvlJc w:val="left"/>
      <w:rPr>
        <w:rFonts w:hint="eastAsia"/>
      </w:rPr>
    </w:lvl>
  </w:abstractNum>
  <w:num w:numId="1">
    <w:abstractNumId w:val="4"/>
  </w:num>
  <w:num w:numId="2">
    <w:abstractNumId w:val="2"/>
  </w:num>
  <w:num w:numId="3">
    <w:abstractNumId w:val="5"/>
  </w:num>
  <w:num w:numId="4">
    <w:abstractNumId w:val="6"/>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ZGY0Y2ZhNDM0MWFjOTI3OGJmYzFhYjJhNTE4YzUifQ=="/>
  </w:docVars>
  <w:rsids>
    <w:rsidRoot w:val="0A6E0564"/>
    <w:rsid w:val="0A6E0564"/>
    <w:rsid w:val="0C341448"/>
    <w:rsid w:val="0C705859"/>
    <w:rsid w:val="179F7572"/>
    <w:rsid w:val="1DF51329"/>
    <w:rsid w:val="2BCF20A4"/>
    <w:rsid w:val="2E3755D9"/>
    <w:rsid w:val="368F6420"/>
    <w:rsid w:val="379D15D1"/>
    <w:rsid w:val="3FC84615"/>
    <w:rsid w:val="52935E7B"/>
    <w:rsid w:val="6194030F"/>
    <w:rsid w:val="67177E44"/>
    <w:rsid w:val="6B4E3852"/>
    <w:rsid w:val="6C316D7A"/>
    <w:rsid w:val="6F6B44EF"/>
    <w:rsid w:val="74E2064C"/>
    <w:rsid w:val="7BD35F0D"/>
    <w:rsid w:val="7FE9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keepNext w:val="0"/>
      <w:keepLines w:val="0"/>
      <w:widowControl w:val="0"/>
      <w:suppressLineNumbers w:val="0"/>
      <w:spacing w:before="0" w:beforeAutospacing="1" w:after="0" w:afterAutospacing="1" w:line="560" w:lineRule="exact"/>
      <w:ind w:firstLine="880" w:firstLineChars="20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uiPriority w:val="0"/>
    <w:pPr>
      <w:keepNext w:val="0"/>
      <w:keepLines w:val="0"/>
      <w:widowControl w:val="0"/>
      <w:suppressLineNumbers w:val="0"/>
      <w:spacing w:line="560" w:lineRule="exact"/>
      <w:ind w:left="420" w:leftChars="200" w:firstLine="880" w:firstLineChars="200"/>
      <w:jc w:val="both"/>
    </w:pPr>
    <w:rPr>
      <w:rFonts w:hint="default" w:ascii="仿宋_GB2312" w:hAnsi="宋体" w:eastAsia="仿宋_GB2312" w:cs="仿宋_GB2312"/>
      <w:kern w:val="2"/>
      <w:sz w:val="32"/>
      <w:szCs w:val="32"/>
      <w:lang w:val="en-US" w:eastAsia="zh-CN" w:bidi="ar"/>
    </w:rPr>
  </w:style>
  <w:style w:type="paragraph" w:customStyle="1" w:styleId="14">
    <w:name w:val="一级标题（新）"/>
    <w:basedOn w:val="1"/>
    <w:qFormat/>
    <w:uiPriority w:val="0"/>
    <w:pPr>
      <w:numPr>
        <w:ilvl w:val="0"/>
        <w:numId w:val="3"/>
      </w:numPr>
      <w:spacing w:before="100" w:beforeLines="100" w:after="100" w:afterLines="100"/>
      <w:ind w:firstLine="357"/>
      <w:jc w:val="center"/>
      <w:outlineLvl w:val="0"/>
    </w:pPr>
    <w:rPr>
      <w:rFonts w:hint="eastAsia" w:ascii="Times New Roman" w:hAnsi="Times New Roman" w:eastAsia="黑体" w:cs="Times New Roman"/>
      <w:bCs/>
      <w:sz w:val="44"/>
    </w:rPr>
  </w:style>
  <w:style w:type="paragraph" w:customStyle="1" w:styleId="15">
    <w:name w:val="二级标题（新）"/>
    <w:basedOn w:val="1"/>
    <w:autoRedefine/>
    <w:uiPriority w:val="0"/>
    <w:pPr>
      <w:numPr>
        <w:ilvl w:val="0"/>
        <w:numId w:val="4"/>
      </w:numPr>
      <w:spacing w:before="100" w:beforeLines="100" w:after="100" w:afterLines="100"/>
      <w:ind w:firstLine="357"/>
      <w:jc w:val="left"/>
      <w:outlineLvl w:val="1"/>
    </w:pPr>
    <w:rPr>
      <w:rFonts w:hint="eastAsia" w:ascii="Times New Roman" w:hAnsi="Times New Roman" w:eastAsia="黑体" w:cs="Times New Roman"/>
      <w:bCs/>
      <w:sz w:val="32"/>
    </w:rPr>
  </w:style>
  <w:style w:type="paragraph" w:customStyle="1" w:styleId="16">
    <w:name w:val="三级标题（新）"/>
    <w:basedOn w:val="1"/>
    <w:uiPriority w:val="0"/>
    <w:pPr>
      <w:numPr>
        <w:ilvl w:val="0"/>
        <w:numId w:val="5"/>
      </w:numPr>
      <w:spacing w:before="50" w:beforeLines="50" w:after="50" w:afterLines="50"/>
      <w:ind w:firstLine="357"/>
      <w:jc w:val="left"/>
      <w:outlineLvl w:val="2"/>
    </w:pPr>
    <w:rPr>
      <w:rFonts w:hint="eastAsia" w:ascii="Times New Roman" w:hAnsi="Times New Roman" w:eastAsia="黑体" w:cs="Times New Roman"/>
      <w:bCs/>
      <w:sz w:val="30"/>
    </w:rPr>
  </w:style>
  <w:style w:type="paragraph" w:customStyle="1" w:styleId="17">
    <w:name w:val="一级目录（材料）"/>
    <w:basedOn w:val="1"/>
    <w:next w:val="1"/>
    <w:qFormat/>
    <w:uiPriority w:val="0"/>
    <w:pPr>
      <w:numPr>
        <w:ilvl w:val="1"/>
        <w:numId w:val="6"/>
      </w:numPr>
      <w:tabs>
        <w:tab w:val="left" w:pos="0"/>
      </w:tabs>
      <w:spacing w:before="120" w:after="120" w:line="480" w:lineRule="auto"/>
      <w:ind w:left="573" w:rightChars="100" w:hanging="573"/>
      <w:jc w:val="left"/>
      <w:outlineLvl w:val="1"/>
    </w:pPr>
    <w:rPr>
      <w:rFonts w:hint="eastAsia" w:ascii="Arial" w:hAnsi="Arial" w:eastAsia="宋体" w:cs="Times New Roman"/>
      <w:b/>
      <w:sz w:val="32"/>
      <w:szCs w:val="32"/>
    </w:rPr>
  </w:style>
  <w:style w:type="paragraph" w:customStyle="1" w:styleId="18">
    <w:name w:val="一级目录"/>
    <w:basedOn w:val="1"/>
    <w:qFormat/>
    <w:uiPriority w:val="0"/>
    <w:pPr>
      <w:numPr>
        <w:ilvl w:val="1"/>
        <w:numId w:val="7"/>
      </w:numPr>
      <w:tabs>
        <w:tab w:val="left" w:pos="0"/>
      </w:tabs>
      <w:spacing w:before="120" w:after="120" w:line="480" w:lineRule="auto"/>
      <w:ind w:left="573" w:rightChars="100" w:hanging="573"/>
      <w:jc w:val="left"/>
      <w:outlineLvl w:val="1"/>
    </w:pPr>
    <w:rPr>
      <w:rFonts w:hint="eastAsia" w:ascii="Arial" w:hAnsi="Arial" w:eastAsia="宋体" w:cs="Times New Roman"/>
      <w:b/>
      <w:sz w:val="44"/>
      <w:szCs w:val="32"/>
    </w:rPr>
  </w:style>
  <w:style w:type="paragraph" w:customStyle="1" w:styleId="19">
    <w:name w:val="目录标题3"/>
    <w:basedOn w:val="1"/>
    <w:next w:val="1"/>
    <w:uiPriority w:val="0"/>
    <w:pPr>
      <w:keepNext/>
      <w:keepLines/>
      <w:numPr>
        <w:ilvl w:val="2"/>
        <w:numId w:val="8"/>
      </w:numPr>
      <w:spacing w:beforeLines="0" w:afterLines="0"/>
      <w:ind w:left="1008" w:leftChars="100" w:firstLine="0" w:firstLineChars="0"/>
      <w:outlineLvl w:val="2"/>
    </w:pPr>
    <w:rPr>
      <w:rFonts w:eastAsia="华文仿宋" w:asciiTheme="minorAscii" w:hAnsiTheme="minorAscii"/>
      <w:b/>
      <w:sz w:val="28"/>
    </w:rPr>
  </w:style>
  <w:style w:type="paragraph" w:customStyle="1" w:styleId="20">
    <w:name w:val="样式1"/>
    <w:basedOn w:val="1"/>
    <w:uiPriority w:val="0"/>
    <w:pPr>
      <w:numPr>
        <w:ilvl w:val="4"/>
        <w:numId w:val="1"/>
      </w:numPr>
      <w:ind w:left="1008" w:hanging="1008"/>
    </w:pPr>
  </w:style>
  <w:style w:type="paragraph" w:customStyle="1" w:styleId="21">
    <w:name w:val="目标标题4"/>
    <w:basedOn w:val="1"/>
    <w:uiPriority w:val="0"/>
    <w:pPr>
      <w:keepNext/>
      <w:keepLines/>
      <w:numPr>
        <w:ilvl w:val="2"/>
        <w:numId w:val="1"/>
      </w:numPr>
      <w:spacing w:beforeLines="0" w:afterLines="0"/>
      <w:ind w:left="1008" w:leftChars="100" w:firstLine="0" w:firstLineChars="0"/>
      <w:outlineLvl w:val="2"/>
    </w:pPr>
    <w:rPr>
      <w:rFonts w:eastAsia="华文仿宋" w:asciiTheme="minorAscii" w:hAnsiTheme="minorAscii"/>
      <w:b/>
      <w:sz w:val="28"/>
    </w:rPr>
  </w:style>
  <w:style w:type="paragraph" w:customStyle="1" w:styleId="22">
    <w:name w:val="BodyText"/>
    <w:basedOn w:val="1"/>
    <w:uiPriority w:val="0"/>
    <w:pPr>
      <w:keepNext w:val="0"/>
      <w:keepLines w:val="0"/>
      <w:widowControl w:val="0"/>
      <w:suppressLineNumbers w:val="0"/>
      <w:spacing w:after="120" w:afterAutospacing="0" w:line="560" w:lineRule="exact"/>
      <w:ind w:firstLine="880" w:firstLineChars="200"/>
      <w:jc w:val="both"/>
    </w:pPr>
    <w:rPr>
      <w:rFonts w:hint="default" w:ascii="仿宋_GB2312" w:hAnsi="宋体"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凌动</Company>
  <Pages>7</Pages>
  <Words>0</Words>
  <Characters>0</Characters>
  <Lines>1</Lines>
  <Paragraphs>1</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2024-06-19T07:55:00Z</dcterms:created>
  <dc:creator>演示人</dc:creator>
  <cp:lastModifiedBy>演示人</cp:lastModifiedBy>
  <dcterms:modified xsi:type="dcterms:W3CDTF">2024-06-19T07:56:06Z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FA75DE2333DE473BA576A1C4A5AF8305_11</vt:lpwstr>
  </property>
</Properties>
</file>