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overflowPunct/>
        <w:topLinePunct w:val="0"/>
        <w:autoSpaceDE/>
        <w:autoSpaceDN/>
        <w:bidi w:val="0"/>
        <w:adjustRightInd/>
        <w:spacing w:before="0" w:beforeAutospacing="0" w:after="0" w:afterAutospacing="0" w:line="580" w:lineRule="exact"/>
        <w:ind w:left="0" w:right="0"/>
        <w:jc w:val="center"/>
        <w:textAlignment w:val="auto"/>
        <w:rPr>
          <w:rFonts w:hint="eastAsia" w:ascii="黑体" w:hAnsi="黑体" w:eastAsia="黑体" w:cs="黑体"/>
          <w:b w:val="0"/>
          <w:bCs w:val="0"/>
          <w:color w:val="auto"/>
          <w:kern w:val="2"/>
          <w:sz w:val="44"/>
          <w:szCs w:val="44"/>
          <w:highlight w:val="none"/>
          <w:lang w:val="en-US" w:eastAsia="zh-CN" w:bidi="ar"/>
        </w:rPr>
      </w:pPr>
    </w:p>
    <w:p>
      <w:pPr>
        <w:keepNext w:val="0"/>
        <w:keepLines w:val="0"/>
        <w:pageBreakBefore w:val="0"/>
        <w:widowControl/>
        <w:suppressLineNumbers w:val="0"/>
        <w:kinsoku/>
        <w:overflowPunct/>
        <w:topLinePunct w:val="0"/>
        <w:autoSpaceDE/>
        <w:autoSpaceDN/>
        <w:bidi w:val="0"/>
        <w:adjustRightInd/>
        <w:spacing w:before="0" w:beforeAutospacing="0" w:after="0" w:afterAutospacing="0" w:line="580" w:lineRule="exact"/>
        <w:ind w:left="0" w:right="0"/>
        <w:jc w:val="center"/>
        <w:textAlignment w:val="auto"/>
        <w:rPr>
          <w:rFonts w:hint="eastAsia" w:ascii="黑体" w:hAnsi="黑体" w:eastAsia="黑体" w:cs="黑体"/>
          <w:b w:val="0"/>
          <w:bCs w:val="0"/>
          <w:color w:val="auto"/>
          <w:kern w:val="2"/>
          <w:sz w:val="44"/>
          <w:szCs w:val="44"/>
          <w:highlight w:val="none"/>
          <w:lang w:val="en-US" w:eastAsia="zh-CN" w:bidi="ar"/>
        </w:rPr>
      </w:pPr>
    </w:p>
    <w:p>
      <w:pPr>
        <w:keepNext w:val="0"/>
        <w:keepLines w:val="0"/>
        <w:pageBreakBefore w:val="0"/>
        <w:widowControl/>
        <w:suppressLineNumbers w:val="0"/>
        <w:kinsoku/>
        <w:overflowPunct/>
        <w:topLinePunct w:val="0"/>
        <w:autoSpaceDE/>
        <w:autoSpaceDN/>
        <w:bidi w:val="0"/>
        <w:adjustRightInd/>
        <w:spacing w:before="0" w:beforeAutospacing="0" w:after="0" w:afterAutospacing="0" w:line="580" w:lineRule="exact"/>
        <w:ind w:left="0" w:right="0"/>
        <w:jc w:val="center"/>
        <w:textAlignment w:val="auto"/>
        <w:rPr>
          <w:rFonts w:hint="eastAsia" w:ascii="黑体" w:hAnsi="黑体" w:eastAsia="黑体" w:cs="黑体"/>
          <w:b w:val="0"/>
          <w:bCs w:val="0"/>
          <w:color w:val="auto"/>
          <w:kern w:val="2"/>
          <w:sz w:val="44"/>
          <w:szCs w:val="44"/>
          <w:highlight w:val="none"/>
          <w:lang w:val="en-US" w:eastAsia="zh-CN" w:bidi="ar"/>
        </w:rPr>
      </w:pPr>
    </w:p>
    <w:p>
      <w:pPr>
        <w:keepNext w:val="0"/>
        <w:keepLines w:val="0"/>
        <w:pageBreakBefore w:val="0"/>
        <w:widowControl/>
        <w:suppressLineNumbers w:val="0"/>
        <w:kinsoku/>
        <w:overflowPunct/>
        <w:topLinePunct w:val="0"/>
        <w:autoSpaceDE/>
        <w:autoSpaceDN/>
        <w:bidi w:val="0"/>
        <w:adjustRightInd/>
        <w:spacing w:before="0" w:beforeAutospacing="0" w:after="0" w:afterAutospacing="0" w:line="580" w:lineRule="exact"/>
        <w:ind w:left="0" w:right="0"/>
        <w:jc w:val="center"/>
        <w:textAlignment w:val="auto"/>
        <w:rPr>
          <w:rFonts w:hint="eastAsia" w:ascii="黑体" w:hAnsi="黑体" w:eastAsia="黑体" w:cs="黑体"/>
          <w:b w:val="0"/>
          <w:bCs w:val="0"/>
          <w:color w:val="auto"/>
          <w:kern w:val="2"/>
          <w:sz w:val="48"/>
          <w:szCs w:val="48"/>
          <w:highlight w:val="none"/>
          <w:lang w:val="en-US" w:eastAsia="zh-CN" w:bidi="ar"/>
        </w:rPr>
      </w:pPr>
    </w:p>
    <w:p>
      <w:pPr>
        <w:keepNext w:val="0"/>
        <w:keepLines w:val="0"/>
        <w:pageBreakBefore w:val="0"/>
        <w:widowControl/>
        <w:suppressLineNumbers w:val="0"/>
        <w:kinsoku/>
        <w:overflowPunct/>
        <w:topLinePunct w:val="0"/>
        <w:autoSpaceDE/>
        <w:autoSpaceDN/>
        <w:bidi w:val="0"/>
        <w:adjustRightInd/>
        <w:spacing w:before="0" w:beforeAutospacing="0" w:after="0" w:afterAutospacing="0" w:line="580" w:lineRule="exact"/>
        <w:ind w:left="0" w:right="0"/>
        <w:jc w:val="center"/>
        <w:textAlignment w:val="auto"/>
        <w:rPr>
          <w:rFonts w:hint="eastAsia" w:ascii="黑体" w:hAnsi="黑体" w:eastAsia="黑体" w:cs="黑体"/>
          <w:b w:val="0"/>
          <w:bCs w:val="0"/>
          <w:color w:val="auto"/>
          <w:kern w:val="2"/>
          <w:sz w:val="48"/>
          <w:szCs w:val="48"/>
          <w:highlight w:val="none"/>
          <w:lang w:val="en-US" w:eastAsia="zh-CN" w:bidi="ar"/>
        </w:rPr>
      </w:pPr>
    </w:p>
    <w:p>
      <w:pPr>
        <w:keepNext w:val="0"/>
        <w:keepLines w:val="0"/>
        <w:pageBreakBefore w:val="0"/>
        <w:widowControl/>
        <w:suppressLineNumbers w:val="0"/>
        <w:kinsoku/>
        <w:overflowPunct/>
        <w:topLinePunct w:val="0"/>
        <w:autoSpaceDE/>
        <w:autoSpaceDN/>
        <w:bidi w:val="0"/>
        <w:adjustRightInd/>
        <w:spacing w:before="0" w:beforeAutospacing="0" w:after="0" w:afterAutospacing="0" w:line="580" w:lineRule="exact"/>
        <w:ind w:left="0" w:right="0"/>
        <w:jc w:val="center"/>
        <w:textAlignment w:val="auto"/>
        <w:rPr>
          <w:rFonts w:hint="eastAsia" w:ascii="黑体" w:hAnsi="黑体" w:eastAsia="黑体" w:cs="黑体"/>
          <w:b w:val="0"/>
          <w:bCs w:val="0"/>
          <w:color w:val="auto"/>
          <w:kern w:val="2"/>
          <w:sz w:val="48"/>
          <w:szCs w:val="48"/>
          <w:highlight w:val="none"/>
          <w:lang w:val="en-US" w:eastAsia="zh-CN" w:bidi="ar"/>
        </w:rPr>
      </w:pPr>
    </w:p>
    <w:p>
      <w:pPr>
        <w:keepNext w:val="0"/>
        <w:keepLines w:val="0"/>
        <w:pageBreakBefore w:val="0"/>
        <w:widowControl/>
        <w:suppressLineNumbers w:val="0"/>
        <w:kinsoku/>
        <w:overflowPunct/>
        <w:topLinePunct w:val="0"/>
        <w:autoSpaceDE/>
        <w:autoSpaceDN/>
        <w:bidi w:val="0"/>
        <w:adjustRightInd/>
        <w:spacing w:before="0" w:beforeAutospacing="0" w:after="0" w:afterAutospacing="0" w:line="580" w:lineRule="exact"/>
        <w:ind w:left="0" w:right="0"/>
        <w:jc w:val="center"/>
        <w:textAlignment w:val="auto"/>
        <w:rPr>
          <w:rFonts w:hint="eastAsia" w:ascii="方正小标宋简体" w:hAnsi="方正小标宋简体" w:eastAsia="方正小标宋简体" w:cs="方正小标宋简体"/>
          <w:b/>
          <w:bCs/>
          <w:color w:val="auto"/>
          <w:kern w:val="2"/>
          <w:sz w:val="52"/>
          <w:szCs w:val="52"/>
          <w:highlight w:val="none"/>
          <w:lang w:val="en-US"/>
        </w:rPr>
      </w:pPr>
      <w:r>
        <w:rPr>
          <w:rFonts w:hint="eastAsia" w:ascii="方正小标宋简体" w:hAnsi="方正小标宋简体" w:eastAsia="方正小标宋简体" w:cs="方正小标宋简体"/>
          <w:b w:val="0"/>
          <w:bCs w:val="0"/>
          <w:color w:val="auto"/>
          <w:kern w:val="2"/>
          <w:sz w:val="52"/>
          <w:szCs w:val="52"/>
          <w:highlight w:val="none"/>
          <w:lang w:val="en-US" w:eastAsia="zh-CN" w:bidi="ar"/>
        </w:rPr>
        <w:t>内蒙古自治区用水权改革实施意见</w:t>
      </w:r>
    </w:p>
    <w:p>
      <w:pPr>
        <w:keepNext w:val="0"/>
        <w:keepLines w:val="0"/>
        <w:pageBreakBefore w:val="0"/>
        <w:widowControl/>
        <w:suppressLineNumbers w:val="0"/>
        <w:kinsoku/>
        <w:overflowPunct/>
        <w:topLinePunct w:val="0"/>
        <w:autoSpaceDE/>
        <w:autoSpaceDN/>
        <w:bidi w:val="0"/>
        <w:adjustRightInd/>
        <w:spacing w:before="0" w:beforeAutospacing="0" w:after="0" w:afterAutospacing="0" w:line="580" w:lineRule="exact"/>
        <w:ind w:left="0" w:right="0"/>
        <w:jc w:val="center"/>
        <w:textAlignment w:val="auto"/>
        <w:rPr>
          <w:rFonts w:hint="default" w:ascii="楷体" w:hAnsi="楷体" w:eastAsia="楷体" w:cs="楷体"/>
          <w:color w:val="auto"/>
          <w:kern w:val="2"/>
          <w:sz w:val="32"/>
          <w:szCs w:val="32"/>
          <w:highlight w:val="none"/>
          <w:lang w:val="en-US" w:eastAsia="zh-CN"/>
        </w:rPr>
      </w:pPr>
      <w:r>
        <w:rPr>
          <w:rFonts w:hint="eastAsia" w:ascii="楷体" w:hAnsi="楷体" w:eastAsia="楷体" w:cs="楷体"/>
          <w:color w:val="auto"/>
          <w:kern w:val="2"/>
          <w:sz w:val="32"/>
          <w:szCs w:val="32"/>
          <w:highlight w:val="none"/>
          <w:lang w:val="en-US" w:eastAsia="zh-CN"/>
        </w:rPr>
        <w:t>(征求意</w:t>
      </w:r>
      <w:bookmarkStart w:id="2" w:name="_GoBack"/>
      <w:bookmarkEnd w:id="2"/>
      <w:r>
        <w:rPr>
          <w:rFonts w:hint="eastAsia" w:ascii="楷体" w:hAnsi="楷体" w:eastAsia="楷体" w:cs="楷体"/>
          <w:color w:val="auto"/>
          <w:kern w:val="2"/>
          <w:sz w:val="32"/>
          <w:szCs w:val="32"/>
          <w:highlight w:val="none"/>
          <w:lang w:val="en-US" w:eastAsia="zh-CN"/>
        </w:rPr>
        <w:t>见稿)</w:t>
      </w:r>
    </w:p>
    <w:p>
      <w:pPr>
        <w:pStyle w:val="9"/>
        <w:keepNext w:val="0"/>
        <w:keepLines w:val="0"/>
        <w:pageBreakBefore w:val="0"/>
        <w:kinsoku/>
        <w:overflowPunct/>
        <w:topLinePunct w:val="0"/>
        <w:autoSpaceDE/>
        <w:autoSpaceDN/>
        <w:bidi w:val="0"/>
        <w:adjustRightInd/>
        <w:spacing w:beforeAutospacing="0" w:line="580" w:lineRule="exact"/>
        <w:textAlignment w:val="auto"/>
        <w:rPr>
          <w:rFonts w:hint="eastAsia" w:ascii="楷体" w:hAnsi="楷体" w:eastAsia="楷体" w:cs="楷体"/>
          <w:color w:val="auto"/>
          <w:kern w:val="2"/>
          <w:sz w:val="32"/>
          <w:szCs w:val="32"/>
          <w:highlight w:val="none"/>
        </w:rPr>
      </w:pPr>
    </w:p>
    <w:p>
      <w:pPr>
        <w:pStyle w:val="9"/>
        <w:keepNext w:val="0"/>
        <w:keepLines w:val="0"/>
        <w:pageBreakBefore w:val="0"/>
        <w:kinsoku/>
        <w:overflowPunct/>
        <w:topLinePunct w:val="0"/>
        <w:autoSpaceDE/>
        <w:autoSpaceDN/>
        <w:bidi w:val="0"/>
        <w:adjustRightInd/>
        <w:spacing w:beforeAutospacing="0" w:line="580" w:lineRule="exact"/>
        <w:textAlignment w:val="auto"/>
        <w:rPr>
          <w:rFonts w:hint="eastAsia" w:ascii="楷体" w:hAnsi="楷体" w:eastAsia="楷体" w:cs="楷体"/>
          <w:color w:val="auto"/>
          <w:kern w:val="2"/>
          <w:sz w:val="32"/>
          <w:szCs w:val="32"/>
          <w:highlight w:val="none"/>
        </w:rPr>
      </w:pPr>
    </w:p>
    <w:p>
      <w:pPr>
        <w:pStyle w:val="9"/>
        <w:keepNext w:val="0"/>
        <w:keepLines w:val="0"/>
        <w:pageBreakBefore w:val="0"/>
        <w:kinsoku/>
        <w:overflowPunct/>
        <w:topLinePunct w:val="0"/>
        <w:autoSpaceDE/>
        <w:autoSpaceDN/>
        <w:bidi w:val="0"/>
        <w:adjustRightInd/>
        <w:spacing w:beforeAutospacing="0" w:line="580" w:lineRule="exact"/>
        <w:textAlignment w:val="auto"/>
        <w:rPr>
          <w:rFonts w:hint="eastAsia" w:ascii="楷体" w:hAnsi="楷体" w:eastAsia="楷体" w:cs="楷体"/>
          <w:color w:val="auto"/>
          <w:kern w:val="2"/>
          <w:sz w:val="32"/>
          <w:szCs w:val="32"/>
          <w:highlight w:val="none"/>
        </w:rPr>
      </w:pPr>
    </w:p>
    <w:p>
      <w:pPr>
        <w:pStyle w:val="9"/>
        <w:keepNext w:val="0"/>
        <w:keepLines w:val="0"/>
        <w:pageBreakBefore w:val="0"/>
        <w:kinsoku/>
        <w:overflowPunct/>
        <w:topLinePunct w:val="0"/>
        <w:autoSpaceDE/>
        <w:autoSpaceDN/>
        <w:bidi w:val="0"/>
        <w:adjustRightInd/>
        <w:spacing w:beforeAutospacing="0" w:line="580" w:lineRule="exact"/>
        <w:textAlignment w:val="auto"/>
        <w:rPr>
          <w:rFonts w:hint="eastAsia" w:ascii="楷体" w:hAnsi="楷体" w:eastAsia="楷体" w:cs="楷体"/>
          <w:color w:val="auto"/>
          <w:kern w:val="2"/>
          <w:sz w:val="32"/>
          <w:szCs w:val="32"/>
          <w:highlight w:val="none"/>
        </w:rPr>
      </w:pPr>
    </w:p>
    <w:p>
      <w:pPr>
        <w:pStyle w:val="9"/>
        <w:keepNext w:val="0"/>
        <w:keepLines w:val="0"/>
        <w:pageBreakBefore w:val="0"/>
        <w:kinsoku/>
        <w:overflowPunct/>
        <w:topLinePunct w:val="0"/>
        <w:autoSpaceDE/>
        <w:autoSpaceDN/>
        <w:bidi w:val="0"/>
        <w:adjustRightInd/>
        <w:spacing w:beforeAutospacing="0" w:line="580" w:lineRule="exact"/>
        <w:textAlignment w:val="auto"/>
        <w:rPr>
          <w:rFonts w:hint="eastAsia" w:ascii="楷体" w:hAnsi="楷体" w:eastAsia="楷体" w:cs="楷体"/>
          <w:color w:val="auto"/>
          <w:kern w:val="2"/>
          <w:sz w:val="32"/>
          <w:szCs w:val="32"/>
          <w:highlight w:val="none"/>
        </w:rPr>
      </w:pPr>
    </w:p>
    <w:p>
      <w:pPr>
        <w:pStyle w:val="9"/>
        <w:keepNext w:val="0"/>
        <w:keepLines w:val="0"/>
        <w:pageBreakBefore w:val="0"/>
        <w:kinsoku/>
        <w:overflowPunct/>
        <w:topLinePunct w:val="0"/>
        <w:autoSpaceDE/>
        <w:autoSpaceDN/>
        <w:bidi w:val="0"/>
        <w:adjustRightInd/>
        <w:spacing w:beforeAutospacing="0" w:line="580" w:lineRule="exact"/>
        <w:textAlignment w:val="auto"/>
        <w:rPr>
          <w:rFonts w:hint="eastAsia" w:ascii="楷体" w:hAnsi="楷体" w:eastAsia="楷体" w:cs="楷体"/>
          <w:color w:val="auto"/>
          <w:kern w:val="2"/>
          <w:sz w:val="32"/>
          <w:szCs w:val="32"/>
          <w:highlight w:val="none"/>
        </w:rPr>
      </w:pPr>
    </w:p>
    <w:p>
      <w:pPr>
        <w:pStyle w:val="9"/>
        <w:keepNext w:val="0"/>
        <w:keepLines w:val="0"/>
        <w:pageBreakBefore w:val="0"/>
        <w:kinsoku/>
        <w:overflowPunct/>
        <w:topLinePunct w:val="0"/>
        <w:autoSpaceDE/>
        <w:autoSpaceDN/>
        <w:bidi w:val="0"/>
        <w:adjustRightInd/>
        <w:spacing w:beforeAutospacing="0" w:line="580" w:lineRule="exact"/>
        <w:textAlignment w:val="auto"/>
        <w:rPr>
          <w:rFonts w:hint="eastAsia" w:ascii="楷体" w:hAnsi="楷体" w:eastAsia="楷体" w:cs="楷体"/>
          <w:color w:val="auto"/>
          <w:kern w:val="2"/>
          <w:sz w:val="32"/>
          <w:szCs w:val="32"/>
          <w:highlight w:val="none"/>
        </w:rPr>
      </w:pPr>
    </w:p>
    <w:p>
      <w:pPr>
        <w:pStyle w:val="9"/>
        <w:keepNext w:val="0"/>
        <w:keepLines w:val="0"/>
        <w:pageBreakBefore w:val="0"/>
        <w:kinsoku/>
        <w:overflowPunct/>
        <w:topLinePunct w:val="0"/>
        <w:autoSpaceDE/>
        <w:autoSpaceDN/>
        <w:bidi w:val="0"/>
        <w:adjustRightInd/>
        <w:spacing w:beforeAutospacing="0" w:line="580" w:lineRule="exact"/>
        <w:textAlignment w:val="auto"/>
        <w:rPr>
          <w:rFonts w:hint="eastAsia" w:ascii="楷体" w:hAnsi="楷体" w:eastAsia="楷体" w:cs="楷体"/>
          <w:color w:val="auto"/>
          <w:kern w:val="2"/>
          <w:sz w:val="32"/>
          <w:szCs w:val="32"/>
          <w:highlight w:val="none"/>
        </w:rPr>
      </w:pPr>
    </w:p>
    <w:p>
      <w:pPr>
        <w:pStyle w:val="9"/>
        <w:keepNext w:val="0"/>
        <w:keepLines w:val="0"/>
        <w:pageBreakBefore w:val="0"/>
        <w:kinsoku/>
        <w:overflowPunct/>
        <w:topLinePunct w:val="0"/>
        <w:autoSpaceDE/>
        <w:autoSpaceDN/>
        <w:bidi w:val="0"/>
        <w:adjustRightInd/>
        <w:spacing w:beforeAutospacing="0" w:line="580" w:lineRule="exact"/>
        <w:ind w:left="0" w:leftChars="0" w:firstLine="0" w:firstLineChars="0"/>
        <w:textAlignment w:val="auto"/>
        <w:rPr>
          <w:rFonts w:hint="eastAsia" w:ascii="楷体" w:hAnsi="楷体" w:eastAsia="楷体" w:cs="楷体"/>
          <w:color w:val="auto"/>
          <w:kern w:val="2"/>
          <w:sz w:val="32"/>
          <w:szCs w:val="32"/>
          <w:highlight w:val="none"/>
        </w:rPr>
      </w:pPr>
    </w:p>
    <w:p>
      <w:pPr>
        <w:pStyle w:val="9"/>
        <w:keepNext w:val="0"/>
        <w:keepLines w:val="0"/>
        <w:pageBreakBefore w:val="0"/>
        <w:kinsoku/>
        <w:overflowPunct/>
        <w:topLinePunct w:val="0"/>
        <w:autoSpaceDE/>
        <w:autoSpaceDN/>
        <w:bidi w:val="0"/>
        <w:adjustRightInd/>
        <w:spacing w:beforeAutospacing="0" w:line="580" w:lineRule="exact"/>
        <w:jc w:val="center"/>
        <w:textAlignment w:val="auto"/>
        <w:rPr>
          <w:rFonts w:hint="eastAsia" w:ascii="楷体" w:hAnsi="楷体" w:eastAsia="楷体" w:cs="楷体"/>
          <w:color w:val="auto"/>
          <w:kern w:val="2"/>
          <w:sz w:val="32"/>
          <w:szCs w:val="32"/>
          <w:highlight w:val="none"/>
          <w:lang w:val="en-US" w:eastAsia="zh-CN"/>
        </w:rPr>
      </w:pPr>
      <w:r>
        <w:rPr>
          <w:rFonts w:hint="eastAsia" w:ascii="楷体" w:hAnsi="楷体" w:eastAsia="楷体" w:cs="楷体"/>
          <w:color w:val="auto"/>
          <w:kern w:val="2"/>
          <w:sz w:val="32"/>
          <w:szCs w:val="32"/>
          <w:highlight w:val="none"/>
          <w:lang w:val="en-US" w:eastAsia="zh-CN"/>
        </w:rPr>
        <w:t>2024年11月</w:t>
      </w:r>
    </w:p>
    <w:p>
      <w:pPr>
        <w:pStyle w:val="9"/>
        <w:keepNext w:val="0"/>
        <w:keepLines w:val="0"/>
        <w:pageBreakBefore w:val="0"/>
        <w:kinsoku/>
        <w:overflowPunct/>
        <w:topLinePunct w:val="0"/>
        <w:autoSpaceDE/>
        <w:autoSpaceDN/>
        <w:bidi w:val="0"/>
        <w:adjustRightInd/>
        <w:spacing w:beforeAutospacing="0" w:line="580" w:lineRule="exact"/>
        <w:jc w:val="center"/>
        <w:textAlignment w:val="auto"/>
        <w:rPr>
          <w:rFonts w:hint="default" w:ascii="楷体" w:hAnsi="楷体" w:eastAsia="楷体" w:cs="楷体"/>
          <w:color w:val="auto"/>
          <w:kern w:val="2"/>
          <w:sz w:val="32"/>
          <w:szCs w:val="32"/>
          <w:highlight w:val="none"/>
          <w:lang w:val="en-US" w:eastAsia="zh-CN"/>
        </w:rPr>
        <w:sectPr>
          <w:pgSz w:w="11906" w:h="16838"/>
          <w:pgMar w:top="1440" w:right="1800" w:bottom="1440" w:left="1800" w:header="851" w:footer="992" w:gutter="0"/>
          <w:pgNumType w:fmt="numberInDash"/>
          <w:cols w:space="425" w:num="1"/>
          <w:docGrid w:type="lines" w:linePitch="312" w:charSpace="0"/>
        </w:sectPr>
      </w:pPr>
      <w:r>
        <w:rPr>
          <w:rFonts w:hint="eastAsia" w:ascii="楷体" w:hAnsi="楷体" w:eastAsia="楷体" w:cs="楷体"/>
          <w:color w:val="auto"/>
          <w:kern w:val="2"/>
          <w:sz w:val="32"/>
          <w:szCs w:val="32"/>
          <w:highlight w:val="none"/>
          <w:lang w:val="en-US" w:eastAsia="zh-CN"/>
        </w:rPr>
        <w:t>内蒙古自治区水利厅</w:t>
      </w:r>
    </w:p>
    <w:p>
      <w:pPr>
        <w:keepNext w:val="0"/>
        <w:keepLines w:val="0"/>
        <w:pageBreakBefore w:val="0"/>
        <w:widowControl/>
        <w:suppressLineNumbers w:val="0"/>
        <w:kinsoku/>
        <w:overflowPunct/>
        <w:topLinePunct w:val="0"/>
        <w:autoSpaceDE/>
        <w:autoSpaceDN/>
        <w:bidi w:val="0"/>
        <w:adjustRightInd/>
        <w:spacing w:before="0" w:beforeAutospacing="0" w:after="0" w:afterAutospacing="0" w:line="580" w:lineRule="exact"/>
        <w:ind w:left="0" w:right="0"/>
        <w:jc w:val="center"/>
        <w:textAlignment w:val="auto"/>
        <w:rPr>
          <w:rFonts w:hint="eastAsia" w:ascii="方正小标宋简体" w:hAnsi="方正小标宋简体" w:eastAsia="方正小标宋简体" w:cs="方正小标宋简体"/>
          <w:b/>
          <w:bCs/>
          <w:color w:val="auto"/>
          <w:kern w:val="2"/>
          <w:sz w:val="44"/>
          <w:szCs w:val="44"/>
          <w:highlight w:val="none"/>
          <w:lang w:val="en-US"/>
        </w:rPr>
      </w:pPr>
      <w:r>
        <w:rPr>
          <w:rFonts w:hint="eastAsia" w:ascii="方正小标宋简体" w:hAnsi="方正小标宋简体" w:eastAsia="方正小标宋简体" w:cs="方正小标宋简体"/>
          <w:b w:val="0"/>
          <w:bCs w:val="0"/>
          <w:color w:val="auto"/>
          <w:kern w:val="2"/>
          <w:sz w:val="44"/>
          <w:szCs w:val="44"/>
          <w:highlight w:val="none"/>
          <w:lang w:val="en-US" w:eastAsia="zh-CN" w:bidi="ar"/>
        </w:rPr>
        <w:t>内蒙古自治区用水权改革实施意见</w:t>
      </w:r>
    </w:p>
    <w:p>
      <w:pPr>
        <w:pStyle w:val="14"/>
        <w:keepNext w:val="0"/>
        <w:keepLines w:val="0"/>
        <w:pageBreakBefore w:val="0"/>
        <w:widowControl/>
        <w:kinsoku/>
        <w:overflowPunct/>
        <w:topLinePunct w:val="0"/>
        <w:autoSpaceDE/>
        <w:autoSpaceDN/>
        <w:bidi w:val="0"/>
        <w:adjustRightInd/>
        <w:spacing w:before="0" w:beforeAutospacing="0" w:after="0" w:afterLines="0" w:afterAutospacing="0" w:line="580" w:lineRule="exact"/>
        <w:ind w:left="0" w:leftChars="0" w:right="0" w:firstLine="0" w:firstLineChars="0"/>
        <w:jc w:val="center"/>
        <w:textAlignment w:val="auto"/>
        <w:rPr>
          <w:rFonts w:hint="default" w:ascii="楷体" w:hAnsi="楷体" w:eastAsia="楷体" w:cs="楷体"/>
          <w:color w:val="auto"/>
          <w:kern w:val="2"/>
          <w:sz w:val="32"/>
          <w:szCs w:val="32"/>
          <w:highlight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pacing w:before="0" w:beforeAutospacing="0" w:after="0" w:afterAutospacing="0" w:line="580" w:lineRule="exact"/>
        <w:ind w:left="0" w:right="0" w:firstLine="640" w:firstLineChars="200"/>
        <w:jc w:val="both"/>
        <w:textAlignment w:val="auto"/>
        <w:rPr>
          <w:rFonts w:hint="eastAsia" w:ascii="仿宋_GB2312" w:eastAsia="仿宋_GB2312"/>
          <w:color w:val="auto"/>
          <w:sz w:val="32"/>
          <w:szCs w:val="32"/>
          <w:highlight w:val="none"/>
          <w:lang w:eastAsia="zh-CN"/>
        </w:rPr>
      </w:pPr>
      <w:r>
        <w:rPr>
          <w:rFonts w:eastAsia="仿宋_GB2312"/>
          <w:color w:val="auto"/>
          <w:sz w:val="32"/>
          <w:szCs w:val="32"/>
          <w:highlight w:val="none"/>
        </w:rPr>
        <w:t>为</w:t>
      </w:r>
      <w:r>
        <w:rPr>
          <w:rFonts w:hint="eastAsia" w:eastAsia="仿宋_GB2312"/>
          <w:color w:val="auto"/>
          <w:sz w:val="32"/>
          <w:szCs w:val="32"/>
          <w:highlight w:val="none"/>
          <w:lang w:eastAsia="zh-CN"/>
        </w:rPr>
        <w:t>进一步</w:t>
      </w:r>
      <w:r>
        <w:rPr>
          <w:rFonts w:eastAsia="仿宋_GB2312"/>
          <w:color w:val="auto"/>
          <w:sz w:val="32"/>
          <w:szCs w:val="32"/>
          <w:highlight w:val="none"/>
        </w:rPr>
        <w:t>深</w:t>
      </w:r>
      <w:r>
        <w:rPr>
          <w:rFonts w:hint="eastAsia" w:eastAsia="仿宋_GB2312"/>
          <w:color w:val="auto"/>
          <w:sz w:val="32"/>
          <w:szCs w:val="32"/>
          <w:highlight w:val="none"/>
          <w:lang w:eastAsia="zh-CN"/>
        </w:rPr>
        <w:t>化</w:t>
      </w:r>
      <w:r>
        <w:rPr>
          <w:rFonts w:eastAsia="仿宋_GB2312"/>
          <w:color w:val="auto"/>
          <w:sz w:val="32"/>
          <w:szCs w:val="32"/>
          <w:highlight w:val="none"/>
        </w:rPr>
        <w:t>用水权改革，</w:t>
      </w:r>
      <w:r>
        <w:rPr>
          <w:rFonts w:hint="eastAsia" w:eastAsia="仿宋_GB2312"/>
          <w:color w:val="auto"/>
          <w:sz w:val="32"/>
          <w:szCs w:val="32"/>
          <w:highlight w:val="none"/>
          <w:lang w:eastAsia="zh-CN"/>
        </w:rPr>
        <w:t>加快</w:t>
      </w:r>
      <w:r>
        <w:rPr>
          <w:rFonts w:eastAsia="仿宋_GB2312"/>
          <w:color w:val="auto"/>
          <w:sz w:val="32"/>
          <w:szCs w:val="32"/>
          <w:highlight w:val="none"/>
        </w:rPr>
        <w:t>用水权初始分配</w:t>
      </w:r>
      <w:r>
        <w:rPr>
          <w:rFonts w:hint="eastAsia" w:eastAsia="仿宋_GB2312"/>
          <w:color w:val="auto"/>
          <w:sz w:val="32"/>
          <w:szCs w:val="32"/>
          <w:highlight w:val="none"/>
          <w:lang w:eastAsia="zh-CN"/>
        </w:rPr>
        <w:t>和明晰</w:t>
      </w:r>
      <w:r>
        <w:rPr>
          <w:rFonts w:eastAsia="仿宋_GB2312"/>
          <w:color w:val="auto"/>
          <w:sz w:val="32"/>
          <w:szCs w:val="32"/>
          <w:highlight w:val="none"/>
        </w:rPr>
        <w:t>，推进用水权市场化交易</w:t>
      </w:r>
      <w:r>
        <w:rPr>
          <w:rFonts w:hint="eastAsia" w:eastAsia="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促进水资源优化配置和集约节约安全利用，</w:t>
      </w:r>
      <w:r>
        <w:rPr>
          <w:rFonts w:hint="eastAsia" w:eastAsia="仿宋_GB2312"/>
          <w:color w:val="auto"/>
          <w:sz w:val="32"/>
          <w:szCs w:val="32"/>
          <w:highlight w:val="none"/>
        </w:rPr>
        <w:t>依据《水利部</w:t>
      </w:r>
      <w:r>
        <w:rPr>
          <w:rFonts w:eastAsia="仿宋_GB2312"/>
          <w:color w:val="auto"/>
          <w:sz w:val="32"/>
          <w:szCs w:val="32"/>
          <w:highlight w:val="none"/>
        </w:rPr>
        <w:t xml:space="preserve"> 国家发展改革委 财政部关于推进用水权改革的指导意见</w:t>
      </w:r>
      <w:r>
        <w:rPr>
          <w:rFonts w:hint="eastAsia" w:eastAsia="仿宋_GB2312"/>
          <w:color w:val="auto"/>
          <w:sz w:val="32"/>
          <w:szCs w:val="32"/>
          <w:highlight w:val="none"/>
        </w:rPr>
        <w:t>》，</w:t>
      </w:r>
      <w:r>
        <w:rPr>
          <w:rFonts w:hint="eastAsia" w:ascii="仿宋_GB2312" w:eastAsia="仿宋_GB2312"/>
          <w:color w:val="auto"/>
          <w:sz w:val="32"/>
          <w:szCs w:val="32"/>
          <w:highlight w:val="none"/>
        </w:rPr>
        <w:t>结合</w:t>
      </w:r>
      <w:r>
        <w:rPr>
          <w:rFonts w:hint="eastAsia" w:ascii="仿宋_GB2312" w:eastAsia="仿宋_GB2312"/>
          <w:color w:val="auto"/>
          <w:sz w:val="32"/>
          <w:szCs w:val="32"/>
          <w:highlight w:val="none"/>
          <w:lang w:eastAsia="zh-CN"/>
        </w:rPr>
        <w:t>自治区用水权改革工作实际，制定本实施意见。</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580" w:lineRule="exact"/>
        <w:ind w:right="0" w:firstLine="640" w:firstLineChars="200"/>
        <w:jc w:val="both"/>
        <w:textAlignment w:val="auto"/>
        <w:rPr>
          <w:rFonts w:hint="default" w:ascii="Cambria" w:hAnsi="Cambria" w:eastAsia="仿宋_GB2312" w:cs="Times New Roman"/>
          <w:bCs/>
          <w:color w:val="auto"/>
          <w:kern w:val="0"/>
          <w:sz w:val="32"/>
          <w:szCs w:val="32"/>
          <w:highlight w:val="none"/>
        </w:rPr>
      </w:pPr>
      <w:r>
        <w:rPr>
          <w:rFonts w:hint="eastAsia" w:ascii="黑体" w:hAnsi="黑体" w:eastAsia="黑体" w:cs="黑体"/>
          <w:color w:val="auto"/>
          <w:sz w:val="32"/>
          <w:szCs w:val="32"/>
          <w:highlight w:val="none"/>
          <w:lang w:eastAsia="zh-CN"/>
        </w:rPr>
        <w:t>总体要求</w:t>
      </w:r>
    </w:p>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（一）指导思想</w:t>
      </w:r>
    </w:p>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580" w:lineRule="exact"/>
        <w:ind w:left="0" w:right="0" w:firstLine="640" w:firstLineChars="200"/>
        <w:jc w:val="both"/>
        <w:textAlignment w:val="auto"/>
        <w:rPr>
          <w:rFonts w:hint="default" w:ascii="仿宋_GB2312" w:hAnsi="Times New Roman" w:eastAsia="仿宋_GB2312" w:cs="仿宋_GB2312"/>
          <w:i w:val="0"/>
          <w:iCs w:val="0"/>
          <w:caps w:val="0"/>
          <w:color w:val="auto"/>
          <w:spacing w:val="0"/>
          <w:kern w:val="2"/>
          <w:sz w:val="32"/>
          <w:szCs w:val="32"/>
          <w:highlight w:val="none"/>
          <w:lang w:val="en-US" w:eastAsia="zh-CN" w:bidi="ar"/>
        </w:rPr>
      </w:pPr>
      <w:r>
        <w:rPr>
          <w:rFonts w:hint="eastAsia" w:ascii="仿宋_GB2312" w:hAnsi="仿宋_GB2312" w:eastAsia="仿宋_GB2312" w:cs="仿宋_GB2312"/>
          <w:i w:val="0"/>
          <w:iCs w:val="0"/>
          <w:caps w:val="0"/>
          <w:color w:val="auto"/>
          <w:spacing w:val="0"/>
          <w:kern w:val="2"/>
          <w:sz w:val="32"/>
          <w:szCs w:val="32"/>
          <w:highlight w:val="none"/>
          <w:lang w:val="en-US" w:eastAsia="zh-CN" w:bidi="ar"/>
        </w:rPr>
        <w:t>以习近平新时代中国特色社会主义思想为指导，</w:t>
      </w:r>
      <w:r>
        <w:rPr>
          <w:rFonts w:hint="eastAsia" w:ascii="仿宋_GB2312" w:hAnsi="仿宋_GB2312" w:eastAsia="仿宋_GB2312" w:cs="仿宋_GB2312"/>
          <w:color w:val="auto"/>
          <w:sz w:val="32"/>
          <w:szCs w:val="32"/>
          <w:highlight w:val="none"/>
        </w:rPr>
        <w:t>深入贯彻落实习近平总书记治水重要论述</w:t>
      </w:r>
      <w:r>
        <w:rPr>
          <w:rFonts w:hint="eastAsia" w:ascii="仿宋_GB2312" w:hAnsi="仿宋_GB2312" w:eastAsia="仿宋_GB2312" w:cs="仿宋_GB2312"/>
          <w:color w:val="auto"/>
          <w:sz w:val="32"/>
          <w:szCs w:val="32"/>
          <w:highlight w:val="none"/>
          <w:lang w:eastAsia="zh-CN"/>
        </w:rPr>
        <w:t>和党的</w:t>
      </w:r>
      <w:r>
        <w:rPr>
          <w:rFonts w:hint="eastAsia" w:ascii="仿宋_GB2312" w:hAnsi="仿宋_GB2312" w:eastAsia="仿宋_GB2312" w:cs="仿宋_GB2312"/>
          <w:color w:val="auto"/>
          <w:sz w:val="32"/>
          <w:szCs w:val="32"/>
          <w:highlight w:val="none"/>
          <w:shd w:val="clear" w:color="auto" w:fill="auto"/>
          <w:lang w:eastAsia="zh-CN"/>
        </w:rPr>
        <w:t>二十届三中全会精神，以铸牢中华民族共同体意识为主线</w:t>
      </w:r>
      <w:r>
        <w:rPr>
          <w:rFonts w:hint="eastAsia" w:ascii="仿宋_GB2312" w:hAnsi="仿宋_GB2312" w:eastAsia="仿宋_GB2312" w:cs="仿宋_GB2312"/>
          <w:color w:val="auto"/>
          <w:sz w:val="32"/>
          <w:szCs w:val="32"/>
          <w:highlight w:val="none"/>
        </w:rPr>
        <w:t>，认真践行“节水优先、空间均衡、系统治理、两手发力”治水思路，立足</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情水情，强化水资源刚性约束，坚持以水而定、量水而行，</w:t>
      </w:r>
      <w:r>
        <w:rPr>
          <w:rFonts w:hint="eastAsia" w:ascii="仿宋_GB2312" w:hAnsi="仿宋_GB2312" w:eastAsia="仿宋_GB2312" w:cs="仿宋_GB2312"/>
          <w:color w:val="auto"/>
          <w:sz w:val="32"/>
          <w:szCs w:val="32"/>
          <w:highlight w:val="none"/>
          <w:lang w:eastAsia="zh-CN"/>
        </w:rPr>
        <w:t>加快用水权初始分配和明晰，推进用水权市场化交易，建立“归属清晰、权责明确、流转顺畅、监管有效”的用水权制度体系，提升水资源优化配置和集约节约安全利用水平，为全区生态文明建设和经济社会高质量发展提供水资源保障</w:t>
      </w:r>
      <w:r>
        <w:rPr>
          <w:rFonts w:hint="default" w:ascii="仿宋_GB2312" w:hAnsi="Times New Roman" w:eastAsia="仿宋_GB2312" w:cs="仿宋_GB2312"/>
          <w:i w:val="0"/>
          <w:iCs w:val="0"/>
          <w:caps w:val="0"/>
          <w:color w:val="auto"/>
          <w:spacing w:val="0"/>
          <w:kern w:val="2"/>
          <w:sz w:val="32"/>
          <w:szCs w:val="32"/>
          <w:highlight w:val="none"/>
          <w:lang w:val="en-US" w:eastAsia="zh-CN" w:bidi="ar"/>
        </w:rPr>
        <w:t>。</w:t>
      </w:r>
    </w:p>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（二）基本原则</w:t>
      </w:r>
    </w:p>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580" w:lineRule="exact"/>
        <w:ind w:left="0" w:right="0" w:firstLine="642" w:firstLineChars="200"/>
        <w:jc w:val="both"/>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
        </w:rPr>
        <w:t>以水而定、量水而行。</w:t>
      </w:r>
      <w:r>
        <w:rPr>
          <w:rFonts w:hint="eastAsia" w:ascii="仿宋_GB2312" w:hAnsi="仿宋_GB2312" w:eastAsia="仿宋_GB2312" w:cs="仿宋_GB2312"/>
          <w:color w:val="auto"/>
          <w:sz w:val="32"/>
          <w:szCs w:val="32"/>
          <w:highlight w:val="none"/>
          <w:lang w:val="en-US" w:eastAsia="zh-CN"/>
        </w:rPr>
        <w:t>把水资源承载能力</w:t>
      </w:r>
      <w:r>
        <w:rPr>
          <w:rFonts w:hint="eastAsia" w:ascii="仿宋_GB2312" w:hAnsi="仿宋_GB2312" w:eastAsia="仿宋_GB2312" w:cs="仿宋_GB2312"/>
          <w:color w:val="auto"/>
          <w:sz w:val="32"/>
          <w:szCs w:val="32"/>
          <w:highlight w:val="none"/>
        </w:rPr>
        <w:t>作为用水权初始分配</w:t>
      </w:r>
      <w:r>
        <w:rPr>
          <w:rFonts w:hint="eastAsia" w:ascii="仿宋_GB2312" w:hAnsi="仿宋_GB2312" w:eastAsia="仿宋_GB2312" w:cs="仿宋_GB2312"/>
          <w:color w:val="auto"/>
          <w:sz w:val="32"/>
          <w:szCs w:val="32"/>
          <w:highlight w:val="none"/>
          <w:lang w:eastAsia="zh-CN"/>
        </w:rPr>
        <w:t>和明晰</w:t>
      </w:r>
      <w:r>
        <w:rPr>
          <w:rFonts w:hint="eastAsia" w:ascii="仿宋_GB2312" w:hAnsi="仿宋_GB2312" w:eastAsia="仿宋_GB2312" w:cs="仿宋_GB2312"/>
          <w:color w:val="auto"/>
          <w:sz w:val="32"/>
          <w:szCs w:val="32"/>
          <w:highlight w:val="none"/>
        </w:rPr>
        <w:t>的重要依据，统筹生活、生态、生产用水需求，强化水资源刚性约束，推进水资源集约节约利用。</w:t>
      </w:r>
    </w:p>
    <w:p>
      <w:pPr>
        <w:keepNext w:val="0"/>
        <w:keepLines w:val="0"/>
        <w:pageBreakBefore w:val="0"/>
        <w:widowControl/>
        <w:suppressLineNumbers w:val="0"/>
        <w:kinsoku/>
        <w:overflowPunct/>
        <w:topLinePunct w:val="0"/>
        <w:autoSpaceDE/>
        <w:autoSpaceDN/>
        <w:bidi w:val="0"/>
        <w:adjustRightInd/>
        <w:spacing w:beforeAutospacing="0" w:line="580" w:lineRule="exact"/>
        <w:ind w:firstLine="642"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
        </w:rPr>
        <w:t>政府调控、市场调节。</w:t>
      </w:r>
      <w:r>
        <w:rPr>
          <w:rFonts w:hint="eastAsia" w:ascii="仿宋_GB2312" w:hAnsi="仿宋_GB2312" w:eastAsia="仿宋_GB2312" w:cs="仿宋_GB2312"/>
          <w:color w:val="auto"/>
          <w:sz w:val="32"/>
          <w:szCs w:val="32"/>
          <w:highlight w:val="none"/>
          <w:lang w:val="en-US" w:eastAsia="zh-CN"/>
        </w:rPr>
        <w:t>聚焦构建高水平社会主义市场经济体制，充分发挥市场在资源配置中的决定性作用，培育活跃的用水权交易市场，更好发挥政府在用水权初始分配和交易监管等方面的作用，</w:t>
      </w:r>
      <w:r>
        <w:rPr>
          <w:rFonts w:hint="eastAsia" w:ascii="仿宋_GB2312" w:hAnsi="仿宋_GB2312" w:eastAsia="仿宋_GB2312" w:cs="仿宋_GB2312"/>
          <w:color w:val="auto"/>
          <w:sz w:val="32"/>
          <w:szCs w:val="32"/>
          <w:highlight w:val="none"/>
          <w:lang w:eastAsia="zh-CN"/>
        </w:rPr>
        <w:t>保护基本用水需求，</w:t>
      </w:r>
      <w:r>
        <w:rPr>
          <w:rFonts w:hint="eastAsia" w:ascii="仿宋_GB2312" w:hAnsi="仿宋_GB2312" w:eastAsia="仿宋_GB2312" w:cs="仿宋_GB2312"/>
          <w:color w:val="auto"/>
          <w:sz w:val="32"/>
          <w:szCs w:val="32"/>
          <w:highlight w:val="none"/>
        </w:rPr>
        <w:t>激发节水内生动力。</w:t>
      </w:r>
    </w:p>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580" w:lineRule="exact"/>
        <w:ind w:left="0" w:right="0" w:firstLine="642" w:firstLineChars="200"/>
        <w:jc w:val="both"/>
        <w:textAlignment w:val="auto"/>
        <w:rPr>
          <w:rFonts w:hint="eastAsia" w:ascii="仿宋_GB2312" w:hAnsi="仿宋_GB2312" w:eastAsia="仿宋_GB2312" w:cs="仿宋_GB2312"/>
          <w:b/>
          <w:bCs/>
          <w:color w:val="auto"/>
          <w:kern w:val="2"/>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
        </w:rPr>
        <w:t>因地制宜、分类施策。</w:t>
      </w:r>
      <w:r>
        <w:rPr>
          <w:rFonts w:hint="eastAsia" w:ascii="仿宋_GB2312" w:hAnsi="仿宋_GB2312" w:eastAsia="仿宋_GB2312" w:cs="仿宋_GB2312"/>
          <w:color w:val="auto"/>
          <w:kern w:val="2"/>
          <w:sz w:val="32"/>
          <w:szCs w:val="32"/>
          <w:highlight w:val="none"/>
          <w:lang w:val="en-US" w:eastAsia="zh-CN" w:bidi="ar"/>
        </w:rPr>
        <w:t>根据区域水资源禀赋条件和经济社会发展实际，优化配置水资源，明晰区域水权、取用水户的用水权、灌溉用水户水权等用水权，推进多种类型的用水权交易。</w:t>
      </w:r>
    </w:p>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580" w:lineRule="exact"/>
        <w:ind w:left="0" w:right="0" w:firstLine="642"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b/>
          <w:bCs/>
          <w:color w:val="auto"/>
          <w:kern w:val="2"/>
          <w:sz w:val="32"/>
          <w:szCs w:val="32"/>
          <w:highlight w:val="none"/>
          <w:lang w:val="en-US" w:eastAsia="zh-CN" w:bidi="ar"/>
        </w:rPr>
        <w:t>统一规则、规范交易。</w:t>
      </w:r>
      <w:r>
        <w:rPr>
          <w:rFonts w:hint="eastAsia" w:ascii="仿宋_GB2312" w:hAnsi="仿宋_GB2312" w:eastAsia="仿宋_GB2312" w:cs="仿宋_GB2312"/>
          <w:color w:val="auto"/>
          <w:kern w:val="2"/>
          <w:sz w:val="32"/>
          <w:szCs w:val="32"/>
          <w:highlight w:val="none"/>
          <w:lang w:val="en-US" w:eastAsia="zh-CN" w:bidi="ar"/>
        </w:rPr>
        <w:t>完善用水权交易制度建设,建立健全用水权交易系统和规则等，规范交易行为,推进用水权相对集中交易。</w:t>
      </w:r>
    </w:p>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（三）工作目标</w:t>
      </w:r>
    </w:p>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580" w:lineRule="exact"/>
        <w:ind w:left="0" w:right="0" w:firstLine="640" w:firstLineChars="200"/>
        <w:jc w:val="both"/>
        <w:textAlignment w:val="auto"/>
        <w:rPr>
          <w:rFonts w:hint="default"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逐步建立健全用水权初始分配、明晰和交易管理制度，明晰以旗县区级行政区为单元的区域初始水权和取用水户、灌溉用水户等用水权，完善用水权交易机制，加强交易监管，建立活跃的用水权交易市场，探索形成多种类型用水权交易模式。到2035年，归属清晰、权责明确、流转顺畅、监管有效的用水权制度体系全面建立，用水权改革促进水资源优化配置和集约节约安全利用的作用全面发挥。</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580" w:lineRule="exact"/>
        <w:ind w:right="0" w:firstLine="640" w:firstLineChars="2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加快用水权初始分配和明晰</w:t>
      </w:r>
    </w:p>
    <w:p>
      <w:pPr>
        <w:keepNext w:val="0"/>
        <w:keepLines w:val="0"/>
        <w:pageBreakBefore w:val="0"/>
        <w:widowControl w:val="0"/>
        <w:numPr>
          <w:ilvl w:val="0"/>
          <w:numId w:val="2"/>
        </w:numPr>
        <w:suppressLineNumbers w:val="0"/>
        <w:kinsoku/>
        <w:overflowPunct/>
        <w:topLinePunct w:val="0"/>
        <w:autoSpaceDE/>
        <w:autoSpaceDN/>
        <w:bidi w:val="0"/>
        <w:adjustRightIn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lang w:val="en-US" w:eastAsia="zh-CN"/>
        </w:rPr>
        <w:t>区域水权分配。</w:t>
      </w:r>
      <w:r>
        <w:rPr>
          <w:rFonts w:hint="default" w:ascii="Times New Roman" w:hAnsi="Times New Roman" w:eastAsia="仿宋_GB2312" w:cs="Times New Roman"/>
          <w:color w:val="auto"/>
          <w:sz w:val="32"/>
          <w:szCs w:val="32"/>
          <w:highlight w:val="none"/>
        </w:rPr>
        <w:t>加快完成跨</w:t>
      </w:r>
      <w:r>
        <w:rPr>
          <w:rFonts w:hint="eastAsia" w:ascii="Times New Roman" w:hAnsi="Times New Roman" w:eastAsia="仿宋_GB2312" w:cs="Times New Roman"/>
          <w:color w:val="auto"/>
          <w:sz w:val="32"/>
          <w:szCs w:val="32"/>
          <w:highlight w:val="none"/>
          <w:lang w:eastAsia="zh-CN"/>
        </w:rPr>
        <w:t>旗县区</w:t>
      </w:r>
      <w:r>
        <w:rPr>
          <w:rFonts w:hint="default" w:ascii="Times New Roman" w:hAnsi="Times New Roman" w:eastAsia="仿宋_GB2312" w:cs="Times New Roman"/>
          <w:color w:val="auto"/>
          <w:sz w:val="32"/>
          <w:szCs w:val="32"/>
          <w:highlight w:val="none"/>
        </w:rPr>
        <w:t>级行政区</w:t>
      </w:r>
      <w:r>
        <w:rPr>
          <w:rFonts w:hint="eastAsia" w:ascii="Times New Roman" w:hAnsi="Times New Roman" w:eastAsia="仿宋_GB2312" w:cs="Times New Roman"/>
          <w:color w:val="auto"/>
          <w:sz w:val="32"/>
          <w:szCs w:val="32"/>
          <w:highlight w:val="none"/>
          <w:lang w:eastAsia="zh-CN"/>
        </w:rPr>
        <w:t>江河流域</w:t>
      </w:r>
      <w:r>
        <w:rPr>
          <w:rFonts w:hint="default" w:ascii="Times New Roman" w:hAnsi="Times New Roman" w:eastAsia="仿宋_GB2312" w:cs="Times New Roman"/>
          <w:color w:val="auto"/>
          <w:sz w:val="32"/>
          <w:szCs w:val="32"/>
          <w:highlight w:val="none"/>
        </w:rPr>
        <w:t>水量分配</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水量分配方案批复的可用水量作为区域在</w:t>
      </w:r>
      <w:r>
        <w:rPr>
          <w:rFonts w:hint="eastAsia" w:ascii="Times New Roman" w:hAnsi="Times New Roman" w:eastAsia="仿宋_GB2312" w:cs="Times New Roman"/>
          <w:color w:val="auto"/>
          <w:sz w:val="32"/>
          <w:szCs w:val="32"/>
          <w:highlight w:val="none"/>
          <w:lang w:eastAsia="zh-CN"/>
        </w:rPr>
        <w:t>该江河流域的</w:t>
      </w:r>
      <w:r>
        <w:rPr>
          <w:rFonts w:hint="default" w:ascii="Times New Roman" w:hAnsi="Times New Roman" w:eastAsia="仿宋_GB2312" w:cs="Times New Roman"/>
          <w:color w:val="auto"/>
          <w:sz w:val="32"/>
          <w:szCs w:val="32"/>
          <w:highlight w:val="none"/>
        </w:rPr>
        <w:t>用水权</w:t>
      </w:r>
      <w:r>
        <w:rPr>
          <w:rFonts w:hint="eastAsia" w:ascii="Times New Roman" w:hAnsi="Times New Roman" w:eastAsia="仿宋_GB2312" w:cs="Times New Roman"/>
          <w:color w:val="auto"/>
          <w:sz w:val="32"/>
          <w:szCs w:val="32"/>
          <w:highlight w:val="none"/>
          <w:lang w:eastAsia="zh-CN"/>
        </w:rPr>
        <w:t>限；</w:t>
      </w:r>
      <w:r>
        <w:rPr>
          <w:rFonts w:hint="default" w:ascii="Times New Roman" w:hAnsi="Times New Roman" w:eastAsia="仿宋_GB2312" w:cs="Times New Roman"/>
          <w:color w:val="auto"/>
          <w:sz w:val="32"/>
          <w:szCs w:val="32"/>
          <w:highlight w:val="none"/>
        </w:rPr>
        <w:t>以</w:t>
      </w:r>
      <w:r>
        <w:rPr>
          <w:rFonts w:hint="eastAsia" w:ascii="Times New Roman" w:hAnsi="Times New Roman" w:eastAsia="仿宋_GB2312" w:cs="Times New Roman"/>
          <w:color w:val="auto"/>
          <w:sz w:val="32"/>
          <w:szCs w:val="32"/>
          <w:highlight w:val="none"/>
          <w:lang w:eastAsia="zh-CN"/>
        </w:rPr>
        <w:t>自治区地下水管控指标</w:t>
      </w:r>
      <w:r>
        <w:rPr>
          <w:rFonts w:hint="default" w:ascii="Times New Roman" w:hAnsi="Times New Roman" w:eastAsia="仿宋_GB2312" w:cs="Times New Roman"/>
          <w:color w:val="auto"/>
          <w:sz w:val="32"/>
          <w:szCs w:val="32"/>
          <w:highlight w:val="none"/>
        </w:rPr>
        <w:t>确定的地下水可用水量作为区域地下水</w:t>
      </w:r>
      <w:r>
        <w:rPr>
          <w:rFonts w:hint="eastAsia"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用水权</w:t>
      </w:r>
      <w:r>
        <w:rPr>
          <w:rFonts w:hint="eastAsia" w:ascii="Times New Roman" w:hAnsi="Times New Roman" w:eastAsia="仿宋_GB2312" w:cs="Times New Roman"/>
          <w:color w:val="auto"/>
          <w:sz w:val="32"/>
          <w:szCs w:val="32"/>
          <w:highlight w:val="none"/>
          <w:lang w:eastAsia="zh-CN"/>
        </w:rPr>
        <w:t>限</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各地区要积极探索确定区域非常规水源用水权；</w:t>
      </w:r>
      <w:r>
        <w:rPr>
          <w:rFonts w:hint="default" w:ascii="Times New Roman" w:hAnsi="Times New Roman" w:eastAsia="仿宋_GB2312" w:cs="Times New Roman"/>
          <w:color w:val="auto"/>
          <w:sz w:val="32"/>
          <w:szCs w:val="32"/>
          <w:highlight w:val="none"/>
        </w:rPr>
        <w:t>对已建和在建的调水工程，</w:t>
      </w:r>
      <w:r>
        <w:rPr>
          <w:rFonts w:hint="eastAsia" w:ascii="Times New Roman" w:hAnsi="Times New Roman" w:eastAsia="仿宋_GB2312" w:cs="Times New Roman"/>
          <w:color w:val="auto"/>
          <w:sz w:val="32"/>
          <w:szCs w:val="32"/>
          <w:highlight w:val="none"/>
          <w:lang w:eastAsia="zh-CN"/>
        </w:rPr>
        <w:t>其</w:t>
      </w:r>
      <w:r>
        <w:rPr>
          <w:rFonts w:hint="default" w:ascii="Times New Roman" w:hAnsi="Times New Roman" w:eastAsia="仿宋_GB2312" w:cs="Times New Roman"/>
          <w:color w:val="auto"/>
          <w:sz w:val="32"/>
          <w:szCs w:val="32"/>
          <w:highlight w:val="none"/>
        </w:rPr>
        <w:t>相关批复文件规定的受水区可用水量，作为该区域取自该工程的用水权</w:t>
      </w:r>
      <w:r>
        <w:rPr>
          <w:rFonts w:hint="eastAsia" w:ascii="Times New Roman" w:hAnsi="Times New Roman" w:eastAsia="仿宋_GB2312" w:cs="Times New Roman"/>
          <w:color w:val="auto"/>
          <w:sz w:val="32"/>
          <w:szCs w:val="32"/>
          <w:highlight w:val="none"/>
          <w:lang w:eastAsia="zh-CN"/>
        </w:rPr>
        <w:t>限</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numPr>
          <w:ilvl w:val="0"/>
          <w:numId w:val="2"/>
        </w:numPr>
        <w:suppressLineNumbers w:val="0"/>
        <w:kinsoku/>
        <w:overflowPunct/>
        <w:topLinePunct w:val="0"/>
        <w:autoSpaceDE/>
        <w:autoSpaceDN/>
        <w:bidi w:val="0"/>
        <w:adjustRightIn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lang w:val="en-US" w:eastAsia="zh-CN"/>
        </w:rPr>
        <w:t>用水户的用水权明晰</w:t>
      </w:r>
      <w:r>
        <w:rPr>
          <w:rFonts w:hint="eastAsia" w:ascii="Times New Roman" w:hAnsi="Times New Roman" w:eastAsia="仿宋_GB2312" w:cs="Times New Roman"/>
          <w:color w:val="auto"/>
          <w:sz w:val="32"/>
          <w:szCs w:val="32"/>
          <w:highlight w:val="none"/>
        </w:rPr>
        <w:t>。</w:t>
      </w:r>
      <w:r>
        <w:rPr>
          <w:rFonts w:hint="eastAsia" w:ascii="仿宋_GB2312" w:hAnsi="仿宋_GB2312" w:eastAsia="仿宋_GB2312" w:cs="仿宋_GB2312"/>
          <w:color w:val="auto"/>
          <w:sz w:val="32"/>
          <w:szCs w:val="32"/>
          <w:highlight w:val="none"/>
        </w:rPr>
        <w:t>用水户</w:t>
      </w:r>
      <w:r>
        <w:rPr>
          <w:rFonts w:hint="eastAsia" w:ascii="仿宋_GB2312" w:hAnsi="仿宋_GB2312" w:eastAsia="仿宋_GB2312" w:cs="仿宋_GB2312"/>
          <w:color w:val="auto"/>
          <w:sz w:val="32"/>
          <w:szCs w:val="32"/>
          <w:highlight w:val="none"/>
          <w:lang w:eastAsia="zh-CN"/>
        </w:rPr>
        <w:t>的用水权明晰</w:t>
      </w:r>
      <w:r>
        <w:rPr>
          <w:rFonts w:hint="eastAsia" w:ascii="仿宋_GB2312" w:hAnsi="仿宋_GB2312" w:eastAsia="仿宋_GB2312" w:cs="仿宋_GB2312"/>
          <w:color w:val="auto"/>
          <w:sz w:val="32"/>
          <w:szCs w:val="32"/>
          <w:highlight w:val="none"/>
        </w:rPr>
        <w:t>对象包括依法纳入取水许可管理的单位或者个人</w:t>
      </w:r>
      <w:r>
        <w:rPr>
          <w:rFonts w:hint="eastAsia" w:ascii="Times New Roman" w:hAnsi="Times New Roman" w:eastAsia="仿宋_GB2312" w:cs="Times New Roman"/>
          <w:color w:val="auto"/>
          <w:sz w:val="32"/>
          <w:szCs w:val="32"/>
          <w:highlight w:val="none"/>
        </w:rPr>
        <w:t>（以下称取用水户）</w:t>
      </w:r>
      <w:r>
        <w:rPr>
          <w:rFonts w:hint="eastAsia" w:ascii="仿宋_GB2312" w:hAnsi="仿宋_GB2312" w:eastAsia="仿宋_GB2312" w:cs="仿宋_GB2312"/>
          <w:color w:val="auto"/>
          <w:sz w:val="32"/>
          <w:szCs w:val="32"/>
          <w:highlight w:val="none"/>
        </w:rPr>
        <w:t>，灌区内灌溉用水户，公共供水管网、集中供水工程内的主要用水户以及农村集体经济组织管理的水塘、水库供水范围内的用水户。</w:t>
      </w:r>
    </w:p>
    <w:p>
      <w:pPr>
        <w:keepNext w:val="0"/>
        <w:keepLines w:val="0"/>
        <w:pageBreakBefore w:val="0"/>
        <w:widowControl w:val="0"/>
        <w:numPr>
          <w:ilvl w:val="0"/>
          <w:numId w:val="0"/>
        </w:numPr>
        <w:suppressLineNumbers w:val="0"/>
        <w:kinsoku/>
        <w:overflowPunct/>
        <w:topLinePunct w:val="0"/>
        <w:autoSpaceDE/>
        <w:autoSpaceDN/>
        <w:bidi w:val="0"/>
        <w:adjustRightIn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取用水户</w:t>
      </w:r>
      <w:r>
        <w:rPr>
          <w:rFonts w:hint="eastAsia" w:ascii="仿宋_GB2312" w:hAnsi="仿宋_GB2312" w:eastAsia="仿宋_GB2312" w:cs="仿宋_GB2312"/>
          <w:color w:val="auto"/>
          <w:sz w:val="32"/>
          <w:szCs w:val="32"/>
          <w:highlight w:val="none"/>
          <w:lang w:eastAsia="zh-CN"/>
        </w:rPr>
        <w:t>的用水权。</w:t>
      </w:r>
      <w:r>
        <w:rPr>
          <w:rFonts w:hint="eastAsia" w:ascii="Times New Roman" w:hAnsi="Times New Roman" w:eastAsia="仿宋_GB2312" w:cs="Times New Roman"/>
          <w:color w:val="auto"/>
          <w:sz w:val="32"/>
          <w:szCs w:val="32"/>
          <w:highlight w:val="none"/>
          <w:lang w:eastAsia="zh-CN"/>
        </w:rPr>
        <w:t>除水库、供水工程等水资源配置工程外，取用水户的用水权应当依据</w:t>
      </w:r>
      <w:r>
        <w:rPr>
          <w:rFonts w:hint="eastAsia" w:ascii="仿宋_GB2312" w:hAnsi="仿宋_GB2312" w:eastAsia="仿宋_GB2312" w:cs="仿宋_GB2312"/>
          <w:color w:val="auto"/>
          <w:sz w:val="32"/>
          <w:szCs w:val="32"/>
        </w:rPr>
        <w:t>取水许可证载明的水源、水量、用途、期限</w:t>
      </w:r>
      <w:r>
        <w:rPr>
          <w:rFonts w:hint="eastAsia" w:ascii="仿宋_GB2312" w:hAnsi="仿宋_GB2312" w:eastAsia="仿宋_GB2312" w:cs="仿宋_GB2312"/>
          <w:color w:val="auto"/>
          <w:sz w:val="32"/>
          <w:szCs w:val="32"/>
          <w:lang w:eastAsia="zh-CN"/>
        </w:rPr>
        <w:t>等</w:t>
      </w:r>
      <w:r>
        <w:rPr>
          <w:rFonts w:hint="eastAsia" w:ascii="Times New Roman" w:hAnsi="Times New Roman" w:eastAsia="仿宋_GB2312" w:cs="Times New Roman"/>
          <w:color w:val="auto"/>
          <w:sz w:val="32"/>
          <w:szCs w:val="32"/>
          <w:highlight w:val="none"/>
          <w:lang w:eastAsia="zh-CN"/>
        </w:rPr>
        <w:t>通过发放用水权确认凭证等方式明晰，也可将取水许可证作为用水权确认凭证。各行政区审批的取水许可总量不得超过区域可用水总量，审</w:t>
      </w:r>
      <w:r>
        <w:rPr>
          <w:rFonts w:hint="eastAsia" w:ascii="Times New Roman" w:hAnsi="Times New Roman" w:eastAsia="仿宋_GB2312" w:cs="Times New Roman"/>
          <w:color w:val="auto"/>
          <w:sz w:val="32"/>
          <w:szCs w:val="32"/>
          <w:highlight w:val="none"/>
        </w:rPr>
        <w:t>批的</w:t>
      </w:r>
      <w:r>
        <w:rPr>
          <w:rFonts w:hint="eastAsia" w:ascii="Times New Roman" w:hAnsi="Times New Roman" w:eastAsia="仿宋_GB2312" w:cs="Times New Roman"/>
          <w:color w:val="auto"/>
          <w:sz w:val="32"/>
          <w:szCs w:val="32"/>
          <w:highlight w:val="none"/>
          <w:lang w:eastAsia="zh-CN"/>
        </w:rPr>
        <w:t>地表水</w:t>
      </w:r>
      <w:r>
        <w:rPr>
          <w:rFonts w:hint="eastAsia" w:ascii="Times New Roman" w:hAnsi="Times New Roman" w:eastAsia="仿宋_GB2312" w:cs="Times New Roman"/>
          <w:color w:val="auto"/>
          <w:sz w:val="32"/>
          <w:szCs w:val="32"/>
          <w:highlight w:val="none"/>
        </w:rPr>
        <w:t>取水许可总量不得超过</w:t>
      </w:r>
      <w:r>
        <w:rPr>
          <w:rFonts w:hint="eastAsia" w:ascii="Times New Roman" w:hAnsi="Times New Roman" w:eastAsia="仿宋_GB2312" w:cs="Times New Roman"/>
          <w:color w:val="auto"/>
          <w:sz w:val="32"/>
          <w:szCs w:val="32"/>
          <w:highlight w:val="none"/>
          <w:lang w:eastAsia="zh-CN"/>
        </w:rPr>
        <w:t>河流</w:t>
      </w:r>
      <w:r>
        <w:rPr>
          <w:rFonts w:hint="eastAsia" w:ascii="Times New Roman" w:hAnsi="Times New Roman" w:eastAsia="仿宋_GB2312" w:cs="Times New Roman"/>
          <w:color w:val="auto"/>
          <w:sz w:val="32"/>
          <w:szCs w:val="32"/>
          <w:highlight w:val="none"/>
        </w:rPr>
        <w:t>水量分</w:t>
      </w:r>
      <w:r>
        <w:rPr>
          <w:rFonts w:hint="eastAsia" w:ascii="仿宋_GB2312" w:hAnsi="仿宋_GB2312" w:eastAsia="仿宋_GB2312" w:cs="仿宋_GB2312"/>
          <w:color w:val="auto"/>
          <w:sz w:val="32"/>
          <w:szCs w:val="32"/>
          <w:highlight w:val="none"/>
        </w:rPr>
        <w:t>配方案</w:t>
      </w:r>
      <w:r>
        <w:rPr>
          <w:rFonts w:hint="eastAsia" w:ascii="仿宋_GB2312" w:hAnsi="仿宋_GB2312" w:eastAsia="仿宋_GB2312" w:cs="仿宋_GB2312"/>
          <w:color w:val="auto"/>
          <w:sz w:val="32"/>
          <w:szCs w:val="32"/>
          <w:highlight w:val="none"/>
          <w:lang w:eastAsia="zh-CN"/>
        </w:rPr>
        <w:t>和外调水工程批复</w:t>
      </w:r>
      <w:r>
        <w:rPr>
          <w:rFonts w:hint="eastAsia" w:ascii="仿宋_GB2312" w:hAnsi="仿宋_GB2312" w:eastAsia="仿宋_GB2312" w:cs="仿宋_GB2312"/>
          <w:color w:val="auto"/>
          <w:sz w:val="32"/>
          <w:szCs w:val="32"/>
          <w:highlight w:val="none"/>
        </w:rPr>
        <w:t>的可用水量，审批的地下水取水许可总量不得超过地下水可用水量</w:t>
      </w:r>
      <w:r>
        <w:rPr>
          <w:rFonts w:hint="eastAsia" w:ascii="仿宋_GB2312" w:hAnsi="仿宋_GB2312" w:eastAsia="仿宋_GB2312" w:cs="仿宋_GB2312"/>
          <w:i w:val="0"/>
          <w:iCs w:val="0"/>
          <w:caps w:val="0"/>
          <w:color w:val="auto"/>
          <w:spacing w:val="0"/>
          <w:sz w:val="32"/>
          <w:szCs w:val="32"/>
          <w:highlight w:val="none"/>
          <w:shd w:val="clear" w:fill="FFFFFF"/>
        </w:rPr>
        <w:t>。</w:t>
      </w:r>
    </w:p>
    <w:p>
      <w:pPr>
        <w:keepNext w:val="0"/>
        <w:keepLines w:val="0"/>
        <w:pageBreakBefore w:val="0"/>
        <w:widowControl w:val="0"/>
        <w:numPr>
          <w:ilvl w:val="0"/>
          <w:numId w:val="0"/>
        </w:numPr>
        <w:suppressLineNumbers w:val="0"/>
        <w:kinsoku/>
        <w:overflowPunct/>
        <w:topLinePunct w:val="0"/>
        <w:autoSpaceDE/>
        <w:autoSpaceDN/>
        <w:bidi w:val="0"/>
        <w:adjustRightInd/>
        <w:spacing w:before="0" w:beforeAutospacing="0" w:after="0" w:afterAutospacing="0" w:line="580" w:lineRule="exact"/>
        <w:ind w:right="0" w:rightChars="0"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灌溉用水户</w:t>
      </w:r>
      <w:r>
        <w:rPr>
          <w:rFonts w:hint="eastAsia" w:ascii="仿宋_GB2312" w:hAnsi="仿宋_GB2312" w:eastAsia="仿宋_GB2312" w:cs="仿宋_GB2312"/>
          <w:color w:val="auto"/>
          <w:sz w:val="32"/>
          <w:szCs w:val="32"/>
          <w:highlight w:val="none"/>
          <w:lang w:eastAsia="zh-CN"/>
        </w:rPr>
        <w:t>的用</w:t>
      </w:r>
      <w:r>
        <w:rPr>
          <w:rFonts w:hint="eastAsia" w:ascii="仿宋_GB2312" w:hAnsi="仿宋_GB2312" w:eastAsia="仿宋_GB2312" w:cs="仿宋_GB2312"/>
          <w:color w:val="auto"/>
          <w:sz w:val="32"/>
          <w:szCs w:val="32"/>
          <w:highlight w:val="none"/>
        </w:rPr>
        <w:t>水权</w:t>
      </w:r>
      <w:r>
        <w:rPr>
          <w:rFonts w:hint="eastAsia" w:ascii="仿宋_GB2312" w:hAnsi="仿宋_GB2312" w:eastAsia="仿宋_GB2312" w:cs="仿宋_GB2312"/>
          <w:color w:val="auto"/>
          <w:sz w:val="32"/>
          <w:szCs w:val="32"/>
          <w:highlight w:val="none"/>
          <w:lang w:eastAsia="zh-CN"/>
        </w:rPr>
        <w:t>。灌溉用水户的用水权</w:t>
      </w:r>
      <w:r>
        <w:rPr>
          <w:rFonts w:hint="eastAsia" w:ascii="Times New Roman" w:hAnsi="Times New Roman" w:eastAsia="仿宋_GB2312" w:cs="Times New Roman"/>
          <w:color w:val="auto"/>
          <w:sz w:val="32"/>
          <w:szCs w:val="32"/>
          <w:highlight w:val="none"/>
          <w:lang w:eastAsia="zh-CN"/>
        </w:rPr>
        <w:t>应当</w:t>
      </w:r>
      <w:r>
        <w:rPr>
          <w:rFonts w:hint="eastAsia" w:ascii="仿宋_GB2312" w:hAnsi="仿宋_GB2312" w:eastAsia="仿宋_GB2312" w:cs="仿宋_GB2312"/>
          <w:color w:val="auto"/>
          <w:sz w:val="32"/>
          <w:szCs w:val="32"/>
          <w:highlight w:val="none"/>
        </w:rPr>
        <w:t>根据灌区取水许可水量，综合考虑计量条件、用水定额、种植结构、灌溉面积等</w:t>
      </w:r>
      <w:r>
        <w:rPr>
          <w:rFonts w:hint="eastAsia" w:ascii="Times New Roman" w:hAnsi="Times New Roman" w:eastAsia="仿宋_GB2312" w:cs="Times New Roman"/>
          <w:color w:val="auto"/>
          <w:sz w:val="32"/>
          <w:szCs w:val="32"/>
          <w:highlight w:val="none"/>
          <w:lang w:eastAsia="zh-CN"/>
        </w:rPr>
        <w:t>通过发放用水权确认凭证，或由灌区管理单位下达用水指标等方式明晰。根据灌区实际和计量条件，灌溉用水户的用水权可分配到灌片，也可以分配到农村集体经济组织、农民用水合作组织、农业种植大户、村民小组、水管所或用水户（井、地块）等。明晰的灌溉用水户的用水权总量不得超过灌区取水许可总量。对农村集体经济组织修建管理的水塘和水库中的水，可在充分尊重村民意愿的基础上，通过向农村集体经济组织、村民小组或用水户发放用水权确认凭证等方式明晰用水权。</w:t>
      </w:r>
    </w:p>
    <w:p>
      <w:pPr>
        <w:keepNext w:val="0"/>
        <w:keepLines w:val="0"/>
        <w:pageBreakBefore w:val="0"/>
        <w:widowControl w:val="0"/>
        <w:numPr>
          <w:ilvl w:val="0"/>
          <w:numId w:val="0"/>
        </w:numPr>
        <w:suppressLineNumbers w:val="0"/>
        <w:kinsoku/>
        <w:overflowPunct/>
        <w:topLinePunct w:val="0"/>
        <w:autoSpaceDE/>
        <w:autoSpaceDN/>
        <w:bidi w:val="0"/>
        <w:adjustRightInd/>
        <w:spacing w:before="0" w:beforeAutospacing="0" w:after="0" w:afterAutospacing="0" w:line="580" w:lineRule="exact"/>
        <w:ind w:right="0" w:rightChars="0" w:firstLine="640" w:firstLineChars="200"/>
        <w:jc w:val="both"/>
        <w:textAlignment w:val="auto"/>
        <w:rPr>
          <w:rFonts w:hint="default" w:ascii="Cambria" w:hAnsi="Cambria" w:eastAsia="仿宋_GB2312" w:cs="Times New Roman"/>
          <w:bCs/>
          <w:color w:val="auto"/>
          <w:kern w:val="0"/>
          <w:szCs w:val="32"/>
          <w:highlight w:val="none"/>
          <w:lang w:val="en-US" w:eastAsia="zh-CN"/>
        </w:rPr>
      </w:pPr>
      <w:r>
        <w:rPr>
          <w:rFonts w:hint="eastAsia" w:ascii="楷体_GB2312" w:hAnsi="楷体_GB2312" w:eastAsia="楷体_GB2312" w:cs="楷体_GB2312"/>
          <w:color w:val="auto"/>
          <w:sz w:val="32"/>
          <w:szCs w:val="32"/>
          <w:highlight w:val="none"/>
          <w:lang w:val="en-US" w:eastAsia="zh-CN"/>
        </w:rPr>
        <w:t>3.</w:t>
      </w:r>
      <w:r>
        <w:rPr>
          <w:rFonts w:hint="eastAsia" w:ascii="楷体_GB2312" w:hAnsi="楷体_GB2312" w:eastAsia="楷体_GB2312" w:cs="楷体_GB2312"/>
          <w:color w:val="auto"/>
          <w:sz w:val="32"/>
          <w:szCs w:val="32"/>
          <w:highlight w:val="none"/>
        </w:rPr>
        <w:t>公共供水管网和集中供水工程用水户的</w:t>
      </w:r>
      <w:r>
        <w:rPr>
          <w:rFonts w:hint="eastAsia" w:ascii="楷体_GB2312" w:hAnsi="楷体_GB2312" w:eastAsia="楷体_GB2312" w:cs="楷体_GB2312"/>
          <w:color w:val="auto"/>
          <w:sz w:val="32"/>
          <w:szCs w:val="32"/>
          <w:highlight w:val="none"/>
          <w:lang w:eastAsia="zh-CN"/>
        </w:rPr>
        <w:t>用</w:t>
      </w:r>
      <w:r>
        <w:rPr>
          <w:rFonts w:hint="eastAsia" w:ascii="楷体_GB2312" w:hAnsi="楷体_GB2312" w:eastAsia="楷体_GB2312" w:cs="楷体_GB2312"/>
          <w:color w:val="auto"/>
          <w:sz w:val="32"/>
          <w:szCs w:val="32"/>
          <w:highlight w:val="none"/>
        </w:rPr>
        <w:t>水权。</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color w:val="auto"/>
          <w:sz w:val="32"/>
          <w:szCs w:val="32"/>
          <w:highlight w:val="none"/>
        </w:rPr>
        <w:t>公共供水管网或者集中供水工程内的工业企业和纳入计划用水管理的学校、医院及服务业等用水户，</w:t>
      </w:r>
      <w:r>
        <w:rPr>
          <w:rFonts w:hint="eastAsia" w:ascii="仿宋_GB2312" w:hAnsi="仿宋_GB2312" w:eastAsia="仿宋_GB2312" w:cs="仿宋_GB2312"/>
          <w:color w:val="auto"/>
          <w:sz w:val="32"/>
          <w:szCs w:val="32"/>
          <w:highlight w:val="none"/>
          <w:lang w:eastAsia="zh-CN"/>
        </w:rPr>
        <w:t>取得取水许可证的用水户</w:t>
      </w:r>
      <w:r>
        <w:rPr>
          <w:rFonts w:hint="eastAsia" w:ascii="Times New Roman" w:hAnsi="Times New Roman" w:eastAsia="仿宋_GB2312" w:cs="Times New Roman"/>
          <w:color w:val="auto"/>
          <w:sz w:val="32"/>
          <w:szCs w:val="32"/>
          <w:highlight w:val="none"/>
          <w:lang w:eastAsia="zh-CN"/>
        </w:rPr>
        <w:t>的用水权应当依据</w:t>
      </w:r>
      <w:r>
        <w:rPr>
          <w:rFonts w:hint="eastAsia" w:ascii="仿宋_GB2312" w:hAnsi="仿宋_GB2312" w:eastAsia="仿宋_GB2312" w:cs="仿宋_GB2312"/>
          <w:color w:val="auto"/>
          <w:sz w:val="32"/>
          <w:szCs w:val="32"/>
        </w:rPr>
        <w:t>取水许可证载明的水源、水量、用途、期限</w:t>
      </w:r>
      <w:r>
        <w:rPr>
          <w:rFonts w:hint="eastAsia" w:ascii="仿宋_GB2312" w:hAnsi="仿宋_GB2312" w:eastAsia="仿宋_GB2312" w:cs="仿宋_GB2312"/>
          <w:color w:val="auto"/>
          <w:sz w:val="32"/>
          <w:szCs w:val="32"/>
          <w:lang w:eastAsia="zh-CN"/>
        </w:rPr>
        <w:t>等</w:t>
      </w:r>
      <w:r>
        <w:rPr>
          <w:rFonts w:hint="eastAsia" w:ascii="Times New Roman" w:hAnsi="Times New Roman" w:eastAsia="仿宋_GB2312" w:cs="Times New Roman"/>
          <w:color w:val="auto"/>
          <w:sz w:val="32"/>
          <w:szCs w:val="32"/>
          <w:highlight w:val="none"/>
          <w:lang w:eastAsia="zh-CN"/>
        </w:rPr>
        <w:t>通过发放用水权确认凭证等方式明晰，也可将取水许可证作为用水权凭证；未取得取水许可证的</w:t>
      </w:r>
      <w:r>
        <w:rPr>
          <w:rFonts w:hint="eastAsia" w:ascii="仿宋_GB2312" w:hAnsi="仿宋_GB2312" w:eastAsia="仿宋_GB2312" w:cs="仿宋_GB2312"/>
          <w:color w:val="auto"/>
          <w:sz w:val="32"/>
          <w:szCs w:val="32"/>
          <w:highlight w:val="none"/>
        </w:rPr>
        <w:t>用水户</w:t>
      </w:r>
      <w:r>
        <w:rPr>
          <w:rFonts w:hint="eastAsia" w:ascii="仿宋_GB2312" w:hAnsi="仿宋_GB2312" w:eastAsia="仿宋_GB2312" w:cs="仿宋_GB2312"/>
          <w:color w:val="auto"/>
          <w:sz w:val="32"/>
          <w:szCs w:val="32"/>
          <w:highlight w:val="none"/>
          <w:lang w:eastAsia="zh-CN"/>
        </w:rPr>
        <w:t>的用水权</w:t>
      </w:r>
      <w:r>
        <w:rPr>
          <w:rFonts w:hint="eastAsia" w:ascii="仿宋_GB2312" w:hAnsi="仿宋_GB2312" w:eastAsia="仿宋_GB2312" w:cs="仿宋_GB2312"/>
          <w:color w:val="auto"/>
          <w:sz w:val="32"/>
          <w:szCs w:val="32"/>
          <w:highlight w:val="none"/>
        </w:rPr>
        <w:t>应当根据取水工程批复水量以及用水户的产品类型、产量、生产规模、用水定额等</w:t>
      </w:r>
      <w:r>
        <w:rPr>
          <w:rFonts w:hint="eastAsia" w:ascii="Times New Roman" w:hAnsi="Times New Roman" w:eastAsia="仿宋_GB2312" w:cs="Times New Roman"/>
          <w:color w:val="auto"/>
          <w:sz w:val="32"/>
          <w:szCs w:val="32"/>
          <w:highlight w:val="none"/>
          <w:lang w:eastAsia="zh-CN"/>
        </w:rPr>
        <w:t>通过发放用水权确认凭证明晰</w:t>
      </w:r>
      <w:r>
        <w:rPr>
          <w:rFonts w:hint="eastAsia" w:ascii="仿宋_GB2312" w:hAnsi="仿宋_GB2312" w:eastAsia="仿宋_GB2312" w:cs="仿宋_GB2312"/>
          <w:color w:val="auto"/>
          <w:sz w:val="32"/>
          <w:szCs w:val="32"/>
          <w:highlight w:val="none"/>
        </w:rPr>
        <w:t>。</w:t>
      </w:r>
      <w:r>
        <w:rPr>
          <w:rFonts w:hint="eastAsia" w:ascii="仿宋_GB2312" w:eastAsia="仿宋_GB2312"/>
          <w:color w:val="auto"/>
          <w:sz w:val="32"/>
          <w:szCs w:val="32"/>
          <w:highlight w:val="none"/>
          <w:lang w:eastAsia="zh-CN"/>
        </w:rPr>
        <w:t>明晰</w:t>
      </w:r>
      <w:r>
        <w:rPr>
          <w:rFonts w:hint="eastAsia" w:ascii="仿宋_GB2312" w:eastAsia="仿宋_GB2312"/>
          <w:color w:val="auto"/>
          <w:sz w:val="32"/>
          <w:szCs w:val="32"/>
          <w:highlight w:val="none"/>
        </w:rPr>
        <w:t>给各主要用水户的可用水总量不得超过公共供水企业</w:t>
      </w:r>
      <w:r>
        <w:rPr>
          <w:rFonts w:hint="eastAsia" w:ascii="仿宋_GB2312" w:eastAsia="仿宋_GB2312"/>
          <w:color w:val="auto"/>
          <w:sz w:val="32"/>
          <w:szCs w:val="32"/>
          <w:highlight w:val="none"/>
          <w:lang w:eastAsia="zh-CN"/>
        </w:rPr>
        <w:t>或者集中供水工程批复水量或</w:t>
      </w:r>
      <w:r>
        <w:rPr>
          <w:rFonts w:hint="eastAsia" w:ascii="仿宋_GB2312" w:eastAsia="仿宋_GB2312"/>
          <w:color w:val="auto"/>
          <w:sz w:val="32"/>
          <w:szCs w:val="32"/>
          <w:highlight w:val="none"/>
        </w:rPr>
        <w:t>取水许可证载明的取水量。</w:t>
      </w:r>
    </w:p>
    <w:p>
      <w:pPr>
        <w:keepNext w:val="0"/>
        <w:keepLines w:val="0"/>
        <w:pageBreakBefore w:val="0"/>
        <w:widowControl w:val="0"/>
        <w:numPr>
          <w:ilvl w:val="0"/>
          <w:numId w:val="2"/>
        </w:numPr>
        <w:suppressLineNumbers w:val="0"/>
        <w:kinsoku/>
        <w:overflowPunct/>
        <w:topLinePunct w:val="0"/>
        <w:autoSpaceDE/>
        <w:autoSpaceDN/>
        <w:bidi w:val="0"/>
        <w:adjustRightInd/>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eastAsia="zh-CN"/>
        </w:rPr>
        <w:t>探索明晰</w:t>
      </w:r>
      <w:r>
        <w:rPr>
          <w:rFonts w:hint="eastAsia" w:ascii="楷体_GB2312" w:hAnsi="楷体_GB2312" w:eastAsia="楷体_GB2312" w:cs="楷体_GB2312"/>
          <w:color w:val="auto"/>
          <w:sz w:val="32"/>
          <w:szCs w:val="32"/>
          <w:highlight w:val="none"/>
        </w:rPr>
        <w:t>非常规水资源用水</w:t>
      </w:r>
      <w:r>
        <w:rPr>
          <w:rFonts w:hint="eastAsia" w:ascii="楷体_GB2312" w:hAnsi="楷体_GB2312" w:eastAsia="楷体_GB2312" w:cs="楷体_GB2312"/>
          <w:color w:val="auto"/>
          <w:sz w:val="32"/>
          <w:szCs w:val="32"/>
          <w:highlight w:val="none"/>
          <w:lang w:eastAsia="zh-CN"/>
        </w:rPr>
        <w:t>户的用水权。</w:t>
      </w:r>
      <w:r>
        <w:rPr>
          <w:rFonts w:ascii="Times New Roman" w:hAnsi="仿宋_GB2312" w:eastAsia="仿宋_GB2312"/>
          <w:color w:val="auto"/>
          <w:sz w:val="32"/>
          <w:szCs w:val="32"/>
          <w:highlight w:val="none"/>
        </w:rPr>
        <w:t>取用非常规水资源用水户的用水权，应当根据水行政主管部门依法配置的可用水量</w:t>
      </w:r>
      <w:r>
        <w:rPr>
          <w:rFonts w:hint="eastAsia" w:ascii="Times New Roman" w:hAnsi="Times New Roman" w:eastAsia="仿宋_GB2312" w:cs="Times New Roman"/>
          <w:color w:val="auto"/>
          <w:sz w:val="32"/>
          <w:szCs w:val="32"/>
          <w:highlight w:val="none"/>
          <w:lang w:eastAsia="zh-CN"/>
        </w:rPr>
        <w:t>通过发放用水权确认凭证明晰</w:t>
      </w:r>
      <w:r>
        <w:rPr>
          <w:rFonts w:ascii="Times New Roman" w:hAnsi="仿宋_GB2312" w:eastAsia="仿宋_GB2312"/>
          <w:color w:val="auto"/>
          <w:sz w:val="32"/>
          <w:szCs w:val="32"/>
          <w:highlight w:val="none"/>
        </w:rPr>
        <w:t>。</w:t>
      </w:r>
      <w:r>
        <w:rPr>
          <w:rFonts w:hint="eastAsia" w:ascii="Times New Roman" w:hAnsi="仿宋_GB2312" w:eastAsia="仿宋_GB2312"/>
          <w:color w:val="auto"/>
          <w:sz w:val="32"/>
          <w:szCs w:val="32"/>
          <w:highlight w:val="none"/>
          <w:lang w:eastAsia="zh-CN"/>
        </w:rPr>
        <w:t>盟市（旗县）级人民政府可探索明晰污水处理厂形成的稳定量达标再生水的用水权。</w:t>
      </w:r>
    </w:p>
    <w:p>
      <w:pPr>
        <w:pStyle w:val="2"/>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val="0"/>
          <w:bCs w:val="0"/>
          <w:color w:val="auto"/>
          <w:kern w:val="2"/>
          <w:sz w:val="32"/>
          <w:szCs w:val="32"/>
          <w:highlight w:val="none"/>
          <w:lang w:val="en-US" w:eastAsia="zh-CN" w:bidi="ar-SA"/>
        </w:rPr>
        <w:t>（七）用水权初始分配和明晰的有关要求。</w:t>
      </w:r>
      <w:r>
        <w:rPr>
          <w:rFonts w:hint="eastAsia" w:ascii="仿宋_GB2312" w:hAnsi="仿宋_GB2312" w:eastAsia="仿宋_GB2312" w:cs="仿宋_GB2312"/>
          <w:color w:val="auto"/>
          <w:sz w:val="32"/>
          <w:szCs w:val="32"/>
          <w:highlight w:val="none"/>
        </w:rPr>
        <w:t>旗县级人民政府</w:t>
      </w:r>
      <w:r>
        <w:rPr>
          <w:rFonts w:hint="eastAsia" w:ascii="仿宋_GB2312" w:hAnsi="仿宋_GB2312" w:eastAsia="仿宋_GB2312" w:cs="仿宋_GB2312"/>
          <w:color w:val="auto"/>
          <w:sz w:val="32"/>
          <w:szCs w:val="32"/>
          <w:highlight w:val="none"/>
          <w:lang w:eastAsia="zh-CN"/>
        </w:rPr>
        <w:t>或者其授权的</w:t>
      </w:r>
      <w:r>
        <w:rPr>
          <w:rFonts w:hint="eastAsia" w:ascii="仿宋_GB2312" w:hAnsi="仿宋_GB2312" w:eastAsia="仿宋_GB2312" w:cs="仿宋_GB2312"/>
          <w:color w:val="auto"/>
          <w:sz w:val="32"/>
          <w:szCs w:val="32"/>
          <w:highlight w:val="none"/>
        </w:rPr>
        <w:t>水行政主管部门</w:t>
      </w:r>
      <w:r>
        <w:rPr>
          <w:rFonts w:hint="eastAsia" w:ascii="仿宋_GB2312" w:hAnsi="仿宋_GB2312" w:eastAsia="仿宋_GB2312" w:cs="仿宋_GB2312"/>
          <w:color w:val="auto"/>
          <w:sz w:val="32"/>
          <w:szCs w:val="32"/>
          <w:highlight w:val="none"/>
          <w:lang w:eastAsia="zh-CN"/>
        </w:rPr>
        <w:t>通过</w:t>
      </w:r>
      <w:r>
        <w:rPr>
          <w:rFonts w:hint="eastAsia" w:ascii="仿宋_GB2312" w:hAnsi="仿宋_GB2312" w:eastAsia="仿宋_GB2312" w:cs="仿宋_GB2312"/>
          <w:color w:val="auto"/>
          <w:sz w:val="32"/>
          <w:szCs w:val="32"/>
          <w:highlight w:val="none"/>
        </w:rPr>
        <w:t>核发</w:t>
      </w:r>
      <w:r>
        <w:rPr>
          <w:rFonts w:hint="eastAsia" w:ascii="仿宋_GB2312" w:hAnsi="仿宋_GB2312" w:eastAsia="仿宋_GB2312" w:cs="仿宋_GB2312"/>
          <w:color w:val="auto"/>
          <w:sz w:val="32"/>
          <w:szCs w:val="32"/>
          <w:highlight w:val="none"/>
          <w:lang w:eastAsia="zh-CN"/>
        </w:rPr>
        <w:t>用水权确认</w:t>
      </w:r>
      <w:r>
        <w:rPr>
          <w:rFonts w:hint="eastAsia" w:ascii="仿宋_GB2312" w:hAnsi="仿宋_GB2312" w:eastAsia="仿宋_GB2312" w:cs="仿宋_GB2312"/>
          <w:color w:val="auto"/>
          <w:sz w:val="32"/>
          <w:szCs w:val="32"/>
          <w:highlight w:val="none"/>
        </w:rPr>
        <w:t>凭证</w:t>
      </w:r>
      <w:r>
        <w:rPr>
          <w:rFonts w:hint="eastAsia" w:ascii="仿宋_GB2312" w:hAnsi="仿宋_GB2312" w:eastAsia="仿宋_GB2312" w:cs="仿宋_GB2312"/>
          <w:color w:val="auto"/>
          <w:sz w:val="32"/>
          <w:szCs w:val="32"/>
          <w:highlight w:val="none"/>
          <w:lang w:eastAsia="zh-CN"/>
        </w:rPr>
        <w:t>、下达用水指标等方式对用水户水权进行明晰</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其中</w:t>
      </w:r>
      <w:r>
        <w:rPr>
          <w:rFonts w:hint="eastAsia" w:ascii="仿宋_GB2312" w:hAnsi="仿宋_GB2312" w:eastAsia="仿宋_GB2312" w:cs="仿宋_GB2312"/>
          <w:color w:val="auto"/>
          <w:sz w:val="32"/>
          <w:szCs w:val="32"/>
          <w:highlight w:val="none"/>
        </w:rPr>
        <w:t>城市规划区公共供水管网内用水户的</w:t>
      </w:r>
      <w:r>
        <w:rPr>
          <w:rFonts w:hint="eastAsia" w:ascii="仿宋_GB2312" w:hAnsi="仿宋_GB2312" w:eastAsia="仿宋_GB2312" w:cs="仿宋_GB2312"/>
          <w:color w:val="auto"/>
          <w:sz w:val="32"/>
          <w:szCs w:val="32"/>
          <w:highlight w:val="none"/>
          <w:lang w:eastAsia="zh-CN"/>
        </w:rPr>
        <w:t>用水权明晰</w:t>
      </w:r>
      <w:r>
        <w:rPr>
          <w:rFonts w:hint="eastAsia" w:ascii="仿宋_GB2312" w:hAnsi="仿宋_GB2312" w:eastAsia="仿宋_GB2312" w:cs="仿宋_GB2312"/>
          <w:color w:val="auto"/>
          <w:sz w:val="32"/>
          <w:szCs w:val="32"/>
          <w:highlight w:val="none"/>
        </w:rPr>
        <w:t>工作由所在地盟行政公署、市人民政府确定</w:t>
      </w:r>
      <w:r>
        <w:rPr>
          <w:rFonts w:hint="eastAsia" w:ascii="仿宋_GB2312" w:hAnsi="仿宋_GB2312" w:eastAsia="仿宋_GB2312" w:cs="仿宋_GB2312"/>
          <w:color w:val="auto"/>
          <w:sz w:val="32"/>
          <w:szCs w:val="32"/>
          <w:highlight w:val="none"/>
          <w:lang w:eastAsia="zh-CN"/>
        </w:rPr>
        <w:t>用水权明晰</w:t>
      </w:r>
      <w:r>
        <w:rPr>
          <w:rFonts w:hint="eastAsia" w:ascii="仿宋_GB2312" w:hAnsi="仿宋_GB2312" w:eastAsia="仿宋_GB2312" w:cs="仿宋_GB2312"/>
          <w:color w:val="auto"/>
          <w:sz w:val="32"/>
          <w:szCs w:val="32"/>
          <w:highlight w:val="none"/>
        </w:rPr>
        <w:t>责任部门。灌区工程、公共供水管网、集中供水工程等管理单位应当配合水行政主管部门开展用水户</w:t>
      </w:r>
      <w:r>
        <w:rPr>
          <w:rFonts w:hint="eastAsia" w:ascii="仿宋_GB2312" w:hAnsi="仿宋_GB2312" w:eastAsia="仿宋_GB2312" w:cs="仿宋_GB2312"/>
          <w:color w:val="auto"/>
          <w:sz w:val="32"/>
          <w:szCs w:val="32"/>
          <w:highlight w:val="none"/>
          <w:lang w:eastAsia="zh-CN"/>
        </w:rPr>
        <w:t>用水权明晰</w:t>
      </w:r>
      <w:r>
        <w:rPr>
          <w:rFonts w:hint="eastAsia" w:ascii="仿宋_GB2312" w:hAnsi="仿宋_GB2312" w:eastAsia="仿宋_GB2312" w:cs="仿宋_GB2312"/>
          <w:color w:val="auto"/>
          <w:sz w:val="32"/>
          <w:szCs w:val="32"/>
          <w:highlight w:val="none"/>
        </w:rPr>
        <w:t>工作。</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用水权</w:t>
      </w:r>
      <w:r>
        <w:rPr>
          <w:rFonts w:hint="eastAsia" w:ascii="仿宋_GB2312" w:hAnsi="仿宋_GB2312" w:eastAsia="仿宋_GB2312" w:cs="仿宋_GB2312"/>
          <w:color w:val="auto"/>
          <w:sz w:val="32"/>
          <w:szCs w:val="32"/>
          <w:highlight w:val="none"/>
          <w:lang w:eastAsia="zh-CN"/>
        </w:rPr>
        <w:t>确认</w:t>
      </w:r>
      <w:r>
        <w:rPr>
          <w:rFonts w:hint="eastAsia" w:ascii="仿宋_GB2312" w:hAnsi="仿宋_GB2312" w:eastAsia="仿宋_GB2312" w:cs="仿宋_GB2312"/>
          <w:color w:val="auto"/>
          <w:sz w:val="32"/>
          <w:szCs w:val="32"/>
          <w:highlight w:val="none"/>
        </w:rPr>
        <w:t>凭证有效期限和水量应当不超过取水许可证载明的期限和水量。取水许可证有效期届满后水行政主管部门应当依据新申请水量重新核发用水权</w:t>
      </w:r>
      <w:r>
        <w:rPr>
          <w:rFonts w:hint="eastAsia" w:ascii="仿宋_GB2312" w:hAnsi="仿宋_GB2312" w:eastAsia="仿宋_GB2312" w:cs="仿宋_GB2312"/>
          <w:color w:val="auto"/>
          <w:sz w:val="32"/>
          <w:szCs w:val="32"/>
          <w:highlight w:val="none"/>
          <w:lang w:eastAsia="zh-CN"/>
        </w:rPr>
        <w:t>确认</w:t>
      </w:r>
      <w:r>
        <w:rPr>
          <w:rFonts w:hint="eastAsia" w:ascii="仿宋_GB2312" w:hAnsi="仿宋_GB2312" w:eastAsia="仿宋_GB2312" w:cs="仿宋_GB2312"/>
          <w:color w:val="auto"/>
          <w:sz w:val="32"/>
          <w:szCs w:val="32"/>
          <w:highlight w:val="none"/>
        </w:rPr>
        <w:t>凭证。农村集体经济组织管理的水塘、水库供水范围内的用水户用水权</w:t>
      </w:r>
      <w:r>
        <w:rPr>
          <w:rFonts w:hint="eastAsia" w:ascii="仿宋_GB2312" w:hAnsi="仿宋_GB2312" w:eastAsia="仿宋_GB2312" w:cs="仿宋_GB2312"/>
          <w:color w:val="auto"/>
          <w:sz w:val="32"/>
          <w:szCs w:val="32"/>
          <w:highlight w:val="none"/>
          <w:lang w:eastAsia="zh-CN"/>
        </w:rPr>
        <w:t>确认</w:t>
      </w:r>
      <w:r>
        <w:rPr>
          <w:rFonts w:hint="eastAsia" w:ascii="仿宋_GB2312" w:hAnsi="仿宋_GB2312" w:eastAsia="仿宋_GB2312" w:cs="仿宋_GB2312"/>
          <w:color w:val="auto"/>
          <w:sz w:val="32"/>
          <w:szCs w:val="32"/>
          <w:highlight w:val="none"/>
        </w:rPr>
        <w:t>凭证有效期一般不超过五年。</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用水权</w:t>
      </w:r>
      <w:r>
        <w:rPr>
          <w:rFonts w:hint="eastAsia" w:ascii="仿宋_GB2312" w:hAnsi="仿宋_GB2312" w:eastAsia="仿宋_GB2312" w:cs="仿宋_GB2312"/>
          <w:color w:val="auto"/>
          <w:sz w:val="32"/>
          <w:szCs w:val="32"/>
          <w:highlight w:val="none"/>
          <w:lang w:eastAsia="zh-CN"/>
        </w:rPr>
        <w:t>确认</w:t>
      </w:r>
      <w:r>
        <w:rPr>
          <w:rFonts w:hint="eastAsia" w:ascii="仿宋_GB2312" w:hAnsi="仿宋_GB2312" w:eastAsia="仿宋_GB2312" w:cs="仿宋_GB2312"/>
          <w:color w:val="auto"/>
          <w:sz w:val="32"/>
          <w:szCs w:val="32"/>
          <w:highlight w:val="none"/>
        </w:rPr>
        <w:t>凭证应当载明用水户的名称、所在地、证件号码、水权取得方式、取水工程、取水地点、确</w:t>
      </w:r>
      <w:r>
        <w:rPr>
          <w:rFonts w:hint="eastAsia" w:ascii="仿宋_GB2312" w:hAnsi="仿宋_GB2312" w:eastAsia="仿宋_GB2312" w:cs="仿宋_GB2312"/>
          <w:color w:val="auto"/>
          <w:sz w:val="32"/>
          <w:szCs w:val="32"/>
          <w:highlight w:val="none"/>
          <w:lang w:eastAsia="zh-CN"/>
        </w:rPr>
        <w:t>认</w:t>
      </w:r>
      <w:r>
        <w:rPr>
          <w:rFonts w:hint="eastAsia" w:ascii="仿宋_GB2312" w:hAnsi="仿宋_GB2312" w:eastAsia="仿宋_GB2312" w:cs="仿宋_GB2312"/>
          <w:color w:val="auto"/>
          <w:sz w:val="32"/>
          <w:szCs w:val="32"/>
          <w:highlight w:val="none"/>
        </w:rPr>
        <w:t>水量、水源类型、取水用途、有效期限等。</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580" w:lineRule="exact"/>
        <w:ind w:right="0" w:firstLine="640" w:firstLineChars="2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推进用水权市场化交易</w:t>
      </w:r>
    </w:p>
    <w:p>
      <w:pPr>
        <w:keepNext w:val="0"/>
        <w:keepLines w:val="0"/>
        <w:pageBreakBefore w:val="0"/>
        <w:widowControl w:val="0"/>
        <w:numPr>
          <w:ilvl w:val="0"/>
          <w:numId w:val="0"/>
        </w:numPr>
        <w:suppressLineNumbers w:val="0"/>
        <w:kinsoku/>
        <w:overflowPunct/>
        <w:topLinePunct w:val="0"/>
        <w:autoSpaceDE/>
        <w:autoSpaceDN/>
        <w:bidi w:val="0"/>
        <w:adjustRightIn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eastAsia="zh-CN"/>
        </w:rPr>
        <w:t>（八）区域水权交易。</w:t>
      </w:r>
      <w:r>
        <w:rPr>
          <w:rFonts w:hint="eastAsia" w:ascii="仿宋_GB2312" w:hAnsi="仿宋_GB2312" w:eastAsia="仿宋_GB2312" w:cs="仿宋_GB2312"/>
          <w:color w:val="auto"/>
          <w:sz w:val="32"/>
          <w:szCs w:val="32"/>
          <w:highlight w:val="none"/>
          <w:lang w:eastAsia="zh-CN"/>
        </w:rPr>
        <w:t>旗</w:t>
      </w:r>
      <w:r>
        <w:rPr>
          <w:rFonts w:hint="eastAsia" w:ascii="仿宋_GB2312" w:hAnsi="仿宋_GB2312" w:eastAsia="仿宋_GB2312" w:cs="仿宋_GB2312"/>
          <w:color w:val="auto"/>
          <w:sz w:val="32"/>
          <w:szCs w:val="32"/>
          <w:highlight w:val="none"/>
        </w:rPr>
        <w:t>县级以上地方人民政府或者其授权的部门、单位，可</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color w:val="auto"/>
          <w:sz w:val="32"/>
          <w:szCs w:val="32"/>
          <w:highlight w:val="none"/>
        </w:rPr>
        <w:t>区域可用水量内的结余或预留水量开展</w:t>
      </w:r>
      <w:r>
        <w:rPr>
          <w:rFonts w:hint="eastAsia" w:ascii="仿宋_GB2312" w:hAnsi="仿宋_GB2312" w:eastAsia="仿宋_GB2312" w:cs="仿宋_GB2312"/>
          <w:color w:val="auto"/>
          <w:sz w:val="32"/>
          <w:szCs w:val="32"/>
          <w:highlight w:val="none"/>
          <w:lang w:eastAsia="zh-CN"/>
        </w:rPr>
        <w:t>水权</w:t>
      </w:r>
      <w:r>
        <w:rPr>
          <w:rFonts w:hint="eastAsia" w:ascii="仿宋_GB2312" w:hAnsi="仿宋_GB2312" w:eastAsia="仿宋_GB2312" w:cs="仿宋_GB2312"/>
          <w:color w:val="auto"/>
          <w:sz w:val="32"/>
          <w:szCs w:val="32"/>
          <w:highlight w:val="none"/>
        </w:rPr>
        <w:t>交易。交易水量不占受让区域用水总量控制指标</w:t>
      </w:r>
      <w:r>
        <w:rPr>
          <w:rFonts w:hint="eastAsia" w:ascii="仿宋_GB2312" w:hAnsi="仿宋_GB2312" w:eastAsia="仿宋_GB2312" w:cs="仿宋_GB2312"/>
          <w:color w:val="auto"/>
          <w:sz w:val="32"/>
          <w:szCs w:val="32"/>
          <w:highlight w:val="none"/>
          <w:lang w:eastAsia="zh-CN"/>
        </w:rPr>
        <w:t>和江河水量分配指标</w:t>
      </w:r>
      <w:r>
        <w:rPr>
          <w:rFonts w:hint="eastAsia" w:ascii="仿宋_GB2312" w:hAnsi="仿宋_GB2312" w:eastAsia="仿宋_GB2312" w:cs="仿宋_GB2312"/>
          <w:color w:val="auto"/>
          <w:sz w:val="32"/>
          <w:szCs w:val="32"/>
          <w:highlight w:val="none"/>
        </w:rPr>
        <w:t>。区域水权交易须征求上一级水行政主管部门意见，涉及调水工程的应征求调水工程管理单位意见。</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eastAsia="仿宋_GB2312"/>
          <w:color w:val="auto"/>
          <w:highlight w:val="none"/>
          <w:lang w:eastAsia="zh-CN"/>
        </w:rPr>
      </w:pPr>
      <w:r>
        <w:rPr>
          <w:rFonts w:hint="eastAsia" w:ascii="仿宋_GB2312" w:hAnsi="仿宋_GB2312" w:eastAsia="仿宋_GB2312" w:cs="仿宋_GB2312"/>
          <w:color w:val="auto"/>
          <w:sz w:val="32"/>
          <w:szCs w:val="32"/>
          <w:highlight w:val="none"/>
        </w:rPr>
        <w:t>区域水权交易可采取公开交易或协议转让的方式进行。采取公开交易方式的，交易主体应当通过</w:t>
      </w:r>
      <w:r>
        <w:rPr>
          <w:rFonts w:hint="eastAsia" w:ascii="仿宋_GB2312" w:hAnsi="仿宋_GB2312" w:eastAsia="仿宋_GB2312" w:cs="仿宋_GB2312"/>
          <w:color w:val="auto"/>
          <w:sz w:val="32"/>
          <w:szCs w:val="32"/>
          <w:highlight w:val="none"/>
          <w:lang w:eastAsia="zh-CN"/>
        </w:rPr>
        <w:t>公共资源交易平台</w:t>
      </w:r>
      <w:r>
        <w:rPr>
          <w:rFonts w:hint="eastAsia" w:ascii="仿宋_GB2312" w:hAnsi="仿宋_GB2312" w:eastAsia="仿宋_GB2312" w:cs="仿宋_GB2312"/>
          <w:color w:val="auto"/>
          <w:sz w:val="32"/>
          <w:szCs w:val="32"/>
          <w:highlight w:val="none"/>
        </w:rPr>
        <w:t>公告其转让或受让的意向，明确交易水量、交易期限、交易价格等。采取协议转让方式的，交易双方应当以具备相应能力的机构评估价作为基准价，协商确定交易水量、交易期限、交易价格，在</w:t>
      </w:r>
      <w:r>
        <w:rPr>
          <w:rFonts w:hint="eastAsia" w:ascii="仿宋_GB2312" w:hAnsi="仿宋_GB2312" w:eastAsia="仿宋_GB2312" w:cs="仿宋_GB2312"/>
          <w:color w:val="auto"/>
          <w:sz w:val="32"/>
          <w:szCs w:val="32"/>
          <w:highlight w:val="none"/>
          <w:lang w:eastAsia="zh-CN"/>
        </w:rPr>
        <w:t>公共资源交易平台</w:t>
      </w:r>
      <w:r>
        <w:rPr>
          <w:rFonts w:hint="eastAsia" w:ascii="仿宋_GB2312" w:hAnsi="仿宋_GB2312" w:eastAsia="仿宋_GB2312" w:cs="仿宋_GB2312"/>
          <w:color w:val="auto"/>
          <w:sz w:val="32"/>
          <w:szCs w:val="32"/>
          <w:highlight w:val="none"/>
        </w:rPr>
        <w:t>签署协议成交。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（九）用水户的用</w:t>
      </w:r>
      <w:r>
        <w:rPr>
          <w:rFonts w:hint="eastAsia" w:ascii="楷体_GB2312" w:hAnsi="楷体_GB2312" w:eastAsia="楷体_GB2312" w:cs="楷体_GB2312"/>
          <w:b w:val="0"/>
          <w:bCs w:val="0"/>
          <w:color w:val="auto"/>
          <w:sz w:val="32"/>
          <w:szCs w:val="32"/>
          <w:highlight w:val="none"/>
          <w:lang w:eastAsia="zh-CN"/>
        </w:rPr>
        <w:t>水权</w:t>
      </w:r>
      <w:r>
        <w:rPr>
          <w:rFonts w:hint="eastAsia" w:ascii="楷体_GB2312" w:hAnsi="楷体_GB2312" w:eastAsia="楷体_GB2312" w:cs="楷体_GB2312"/>
          <w:color w:val="auto"/>
          <w:sz w:val="32"/>
          <w:szCs w:val="32"/>
          <w:highlight w:val="none"/>
          <w:lang w:eastAsia="zh-CN"/>
        </w:rPr>
        <w:t>交易。</w:t>
      </w:r>
      <w:r>
        <w:rPr>
          <w:rFonts w:hint="eastAsia" w:ascii="仿宋_GB2312" w:hAnsi="仿宋_GB2312" w:eastAsia="仿宋_GB2312" w:cs="仿宋_GB2312"/>
          <w:color w:val="auto"/>
          <w:sz w:val="32"/>
          <w:szCs w:val="32"/>
          <w:highlight w:val="none"/>
        </w:rPr>
        <w:t>用水户通过调整产品和产业结构、改革工艺、工程改造、调整种植结构、休耕、休灌等措施节约的水资源，</w:t>
      </w:r>
      <w:r>
        <w:rPr>
          <w:rFonts w:hint="eastAsia" w:ascii="仿宋_GB2312" w:hAnsi="仿宋_GB2312" w:eastAsia="仿宋_GB2312" w:cs="仿宋_GB2312"/>
          <w:color w:val="auto"/>
          <w:sz w:val="32"/>
          <w:szCs w:val="32"/>
          <w:highlight w:val="none"/>
          <w:lang w:eastAsia="zh-CN"/>
        </w:rPr>
        <w:t>可以</w:t>
      </w:r>
      <w:r>
        <w:rPr>
          <w:rFonts w:hint="eastAsia" w:ascii="仿宋_GB2312" w:hAnsi="仿宋_GB2312" w:eastAsia="仿宋_GB2312" w:cs="仿宋_GB2312"/>
          <w:color w:val="auto"/>
          <w:sz w:val="32"/>
          <w:szCs w:val="32"/>
          <w:highlight w:val="none"/>
        </w:rPr>
        <w:t>有偿向其他用水户转让</w:t>
      </w:r>
      <w:r>
        <w:rPr>
          <w:rFonts w:hint="eastAsia" w:ascii="仿宋_GB2312" w:hAnsi="仿宋_GB2312" w:eastAsia="仿宋_GB2312" w:cs="仿宋_GB2312"/>
          <w:color w:val="auto"/>
          <w:sz w:val="32"/>
          <w:szCs w:val="32"/>
          <w:highlight w:val="none"/>
          <w:lang w:eastAsia="zh-CN"/>
        </w:rPr>
        <w:t>其节约部分的水资源。取用水户的用水权通过水权交易取得的，可以有偿向其他用水户转让其部分或全部用水权。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取用水户</w:t>
      </w:r>
      <w:r>
        <w:rPr>
          <w:rFonts w:hint="eastAsia" w:ascii="仿宋_GB2312" w:hAnsi="仿宋_GB2312" w:eastAsia="仿宋_GB2312" w:cs="仿宋_GB2312"/>
          <w:color w:val="auto"/>
          <w:sz w:val="32"/>
          <w:szCs w:val="32"/>
          <w:highlight w:val="none"/>
          <w:lang w:eastAsia="zh-CN"/>
        </w:rPr>
        <w:t>的用水权交易。用水权转让方可依据取得的用水权确认凭证</w:t>
      </w:r>
      <w:r>
        <w:rPr>
          <w:rFonts w:hint="eastAsia" w:ascii="仿宋_GB2312" w:hAnsi="仿宋_GB2312" w:eastAsia="仿宋_GB2312" w:cs="仿宋_GB2312"/>
          <w:color w:val="auto"/>
          <w:sz w:val="32"/>
          <w:szCs w:val="32"/>
          <w:lang w:bidi="ar"/>
        </w:rPr>
        <w:t>向具有管辖权限的水行政主管部门提出</w:t>
      </w:r>
      <w:r>
        <w:rPr>
          <w:rFonts w:hint="eastAsia" w:ascii="仿宋_GB2312" w:hAnsi="仿宋_GB2312" w:eastAsia="仿宋_GB2312" w:cs="仿宋_GB2312"/>
          <w:color w:val="auto"/>
          <w:sz w:val="32"/>
          <w:szCs w:val="32"/>
          <w:lang w:eastAsia="zh-CN" w:bidi="ar"/>
        </w:rPr>
        <w:t>用水权交易</w:t>
      </w:r>
      <w:r>
        <w:rPr>
          <w:rFonts w:hint="eastAsia" w:ascii="仿宋_GB2312" w:hAnsi="仿宋_GB2312" w:eastAsia="仿宋_GB2312" w:cs="仿宋_GB2312"/>
          <w:color w:val="auto"/>
          <w:sz w:val="32"/>
          <w:szCs w:val="32"/>
          <w:lang w:bidi="ar"/>
        </w:rPr>
        <w:t>申请（同一灌区内灌溉用水户之间的交易除外）</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lang w:bidi="ar"/>
        </w:rPr>
        <w:t>具有管辖权限的水行政主管部门</w:t>
      </w:r>
      <w:r>
        <w:rPr>
          <w:rFonts w:hint="eastAsia" w:ascii="仿宋_GB2312" w:hAnsi="仿宋_GB2312" w:eastAsia="仿宋_GB2312" w:cs="仿宋_GB2312"/>
          <w:color w:val="auto"/>
          <w:sz w:val="32"/>
          <w:szCs w:val="32"/>
          <w:highlight w:val="none"/>
        </w:rPr>
        <w:t>应对</w:t>
      </w:r>
      <w:r>
        <w:rPr>
          <w:rFonts w:hint="eastAsia" w:ascii="仿宋_GB2312" w:hAnsi="仿宋_GB2312" w:eastAsia="仿宋_GB2312" w:cs="仿宋_GB2312"/>
          <w:color w:val="auto"/>
          <w:sz w:val="32"/>
          <w:szCs w:val="32"/>
          <w:highlight w:val="none"/>
          <w:lang w:eastAsia="zh-CN"/>
        </w:rPr>
        <w:t>用水权</w:t>
      </w:r>
      <w:r>
        <w:rPr>
          <w:rFonts w:hint="eastAsia" w:ascii="仿宋_GB2312" w:hAnsi="仿宋_GB2312" w:eastAsia="仿宋_GB2312" w:cs="仿宋_GB2312"/>
          <w:color w:val="auto"/>
          <w:sz w:val="32"/>
          <w:szCs w:val="32"/>
          <w:highlight w:val="none"/>
        </w:rPr>
        <w:t>交易水量的真实性、合理性以及对第三方的影响等进行审核</w:t>
      </w:r>
      <w:r>
        <w:rPr>
          <w:rFonts w:hint="eastAsia" w:ascii="仿宋_GB2312" w:hAnsi="仿宋_GB2312" w:eastAsia="仿宋_GB2312" w:cs="仿宋_GB2312"/>
          <w:color w:val="auto"/>
          <w:sz w:val="32"/>
          <w:szCs w:val="32"/>
          <w:highlight w:val="none"/>
          <w:lang w:eastAsia="zh-CN"/>
        </w:rPr>
        <w:t>并出具审核意见</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bidi="ar"/>
        </w:rPr>
        <w:t>审核意见是</w:t>
      </w:r>
      <w:r>
        <w:rPr>
          <w:rFonts w:hint="eastAsia" w:ascii="Times New Roman" w:hAnsi="Times New Roman" w:eastAsia="仿宋_GB2312" w:cs="Times New Roman"/>
          <w:color w:val="auto"/>
          <w:sz w:val="32"/>
          <w:szCs w:val="32"/>
          <w:highlight w:val="none"/>
          <w:lang w:eastAsia="zh-CN"/>
        </w:rPr>
        <w:t>用水权交易</w:t>
      </w:r>
      <w:r>
        <w:rPr>
          <w:rFonts w:hint="eastAsia" w:ascii="仿宋_GB2312" w:hAnsi="仿宋_GB2312" w:eastAsia="仿宋_GB2312" w:cs="仿宋_GB2312"/>
          <w:color w:val="auto"/>
          <w:sz w:val="32"/>
          <w:szCs w:val="32"/>
          <w:highlight w:val="none"/>
          <w:lang w:bidi="ar"/>
        </w:rPr>
        <w:t>协议转让或者转让方向</w:t>
      </w:r>
      <w:r>
        <w:rPr>
          <w:rFonts w:hint="eastAsia" w:ascii="仿宋_GB2312" w:hAnsi="仿宋_GB2312" w:eastAsia="仿宋_GB2312" w:cs="仿宋_GB2312"/>
          <w:color w:val="auto"/>
          <w:sz w:val="32"/>
          <w:szCs w:val="32"/>
          <w:highlight w:val="none"/>
          <w:lang w:eastAsia="zh-CN" w:bidi="ar"/>
        </w:rPr>
        <w:t>公共资源</w:t>
      </w:r>
      <w:r>
        <w:rPr>
          <w:rFonts w:hint="eastAsia" w:ascii="仿宋_GB2312" w:hAnsi="仿宋_GB2312" w:eastAsia="仿宋_GB2312" w:cs="仿宋_GB2312"/>
          <w:color w:val="auto"/>
          <w:sz w:val="32"/>
          <w:szCs w:val="32"/>
          <w:highlight w:val="none"/>
          <w:lang w:bidi="ar"/>
        </w:rPr>
        <w:t>交易平台申请交易的主要依据</w:t>
      </w:r>
      <w:r>
        <w:rPr>
          <w:rFonts w:hint="eastAsia" w:ascii="仿宋_GB2312" w:hAnsi="仿宋_GB2312" w:eastAsia="仿宋_GB2312" w:cs="仿宋_GB2312"/>
          <w:color w:val="auto"/>
          <w:sz w:val="32"/>
          <w:szCs w:val="32"/>
          <w:highlight w:val="none"/>
          <w:lang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公共供水管网和集中供水工程用水户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非常规水资源用水户</w:t>
      </w:r>
      <w:r>
        <w:rPr>
          <w:rFonts w:hint="eastAsia" w:ascii="仿宋_GB2312" w:hAnsi="仿宋_GB2312" w:eastAsia="仿宋_GB2312" w:cs="仿宋_GB2312"/>
          <w:color w:val="auto"/>
          <w:sz w:val="32"/>
          <w:szCs w:val="32"/>
          <w:highlight w:val="none"/>
          <w:lang w:eastAsia="zh-CN"/>
        </w:rPr>
        <w:t>等用水权交易，可参照</w:t>
      </w:r>
      <w:r>
        <w:rPr>
          <w:rFonts w:hint="eastAsia" w:ascii="仿宋_GB2312" w:hAnsi="仿宋_GB2312" w:eastAsia="仿宋_GB2312" w:cs="仿宋_GB2312"/>
          <w:color w:val="auto"/>
          <w:sz w:val="32"/>
          <w:szCs w:val="32"/>
          <w:highlight w:val="none"/>
        </w:rPr>
        <w:t>取用水户</w:t>
      </w:r>
      <w:r>
        <w:rPr>
          <w:rFonts w:hint="eastAsia" w:ascii="仿宋_GB2312" w:hAnsi="仿宋_GB2312" w:eastAsia="仿宋_GB2312" w:cs="仿宋_GB2312"/>
          <w:color w:val="auto"/>
          <w:sz w:val="32"/>
          <w:szCs w:val="32"/>
          <w:highlight w:val="none"/>
          <w:lang w:eastAsia="zh-CN"/>
        </w:rPr>
        <w:t>的用水权交易执行。</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1"/>
        <w:textAlignment w:val="auto"/>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2.</w:t>
      </w:r>
      <w:r>
        <w:rPr>
          <w:rFonts w:hint="eastAsia" w:ascii="楷体_GB2312" w:hAnsi="楷体_GB2312" w:eastAsia="楷体_GB2312" w:cs="楷体_GB2312"/>
          <w:color w:val="auto"/>
          <w:sz w:val="32"/>
          <w:szCs w:val="32"/>
          <w:highlight w:val="none"/>
          <w:lang w:eastAsia="zh-CN"/>
        </w:rPr>
        <w:t>灌溉用水户的用水权交易</w:t>
      </w:r>
      <w:r>
        <w:rPr>
          <w:rFonts w:hint="eastAsia" w:ascii="楷体_GB2312" w:hAnsi="楷体_GB2312" w:eastAsia="楷体_GB2312" w:cs="楷体_GB2312"/>
          <w:b w:val="0"/>
          <w:bCs w:val="0"/>
          <w:color w:val="auto"/>
          <w:sz w:val="32"/>
          <w:szCs w:val="32"/>
          <w:highlight w:val="none"/>
          <w:lang w:eastAsia="zh-CN"/>
        </w:rPr>
        <w:t>。</w:t>
      </w:r>
      <w:r>
        <w:rPr>
          <w:rFonts w:hint="eastAsia" w:ascii="仿宋_GB2312" w:hAnsi="仿宋_GB2312" w:eastAsia="仿宋_GB2312" w:cs="仿宋_GB2312"/>
          <w:color w:val="auto"/>
          <w:sz w:val="32"/>
          <w:szCs w:val="32"/>
          <w:highlight w:val="none"/>
        </w:rPr>
        <w:t>灌溉用水户</w:t>
      </w:r>
      <w:r>
        <w:rPr>
          <w:rFonts w:hint="eastAsia" w:ascii="仿宋_GB2312" w:hAnsi="仿宋_GB2312" w:eastAsia="仿宋_GB2312" w:cs="仿宋_GB2312"/>
          <w:color w:val="auto"/>
          <w:sz w:val="32"/>
          <w:szCs w:val="32"/>
          <w:highlight w:val="none"/>
          <w:lang w:eastAsia="zh-CN"/>
        </w:rPr>
        <w:t>可依据取得的用水权确认凭证或者灌区管理单位下达的用水指标</w:t>
      </w:r>
      <w:r>
        <w:rPr>
          <w:rFonts w:hint="eastAsia" w:ascii="仿宋_GB2312" w:hAnsi="仿宋_GB2312" w:eastAsia="仿宋_GB2312" w:cs="仿宋_GB2312"/>
          <w:color w:val="auto"/>
          <w:sz w:val="32"/>
          <w:szCs w:val="32"/>
          <w:highlight w:val="none"/>
        </w:rPr>
        <w:t>在灌区内部用水户或者用水组织之间进行</w:t>
      </w:r>
      <w:r>
        <w:rPr>
          <w:rFonts w:hint="eastAsia" w:ascii="仿宋_GB2312" w:hAnsi="仿宋_GB2312" w:eastAsia="仿宋_GB2312" w:cs="仿宋_GB2312"/>
          <w:color w:val="auto"/>
          <w:sz w:val="32"/>
          <w:szCs w:val="32"/>
          <w:highlight w:val="none"/>
          <w:lang w:eastAsia="zh-CN"/>
        </w:rPr>
        <w:t>用水权交易</w:t>
      </w:r>
      <w:r>
        <w:rPr>
          <w:rFonts w:hint="eastAsia" w:ascii="仿宋_GB2312" w:hAnsi="仿宋_GB2312" w:eastAsia="仿宋_GB2312" w:cs="仿宋_GB2312"/>
          <w:color w:val="auto"/>
          <w:sz w:val="32"/>
          <w:szCs w:val="32"/>
          <w:highlight w:val="none"/>
        </w:rPr>
        <w:t>。灌溉用水户有转让</w:t>
      </w:r>
      <w:r>
        <w:rPr>
          <w:rFonts w:hint="eastAsia" w:ascii="仿宋_GB2312" w:hAnsi="仿宋_GB2312" w:eastAsia="仿宋_GB2312" w:cs="仿宋_GB2312"/>
          <w:color w:val="auto"/>
          <w:sz w:val="32"/>
          <w:szCs w:val="32"/>
          <w:highlight w:val="none"/>
          <w:lang w:eastAsia="zh-CN"/>
        </w:rPr>
        <w:t>用</w:t>
      </w:r>
      <w:r>
        <w:rPr>
          <w:rFonts w:hint="eastAsia" w:ascii="仿宋_GB2312" w:hAnsi="仿宋_GB2312" w:eastAsia="仿宋_GB2312" w:cs="仿宋_GB2312"/>
          <w:color w:val="auto"/>
          <w:sz w:val="32"/>
          <w:szCs w:val="32"/>
          <w:highlight w:val="none"/>
        </w:rPr>
        <w:t>水权意愿的，</w:t>
      </w:r>
      <w:r>
        <w:rPr>
          <w:rFonts w:hint="eastAsia" w:ascii="仿宋_GB2312" w:hAnsi="仿宋_GB2312" w:eastAsia="仿宋_GB2312" w:cs="仿宋_GB2312"/>
          <w:color w:val="auto"/>
          <w:sz w:val="32"/>
          <w:szCs w:val="32"/>
          <w:highlight w:val="none"/>
          <w:lang w:eastAsia="zh-CN"/>
        </w:rPr>
        <w:t>旗县级</w:t>
      </w:r>
      <w:r>
        <w:rPr>
          <w:rFonts w:hint="eastAsia" w:ascii="仿宋_GB2312" w:hAnsi="仿宋_GB2312" w:eastAsia="仿宋_GB2312" w:cs="仿宋_GB2312"/>
          <w:color w:val="auto"/>
          <w:sz w:val="32"/>
          <w:szCs w:val="32"/>
          <w:highlight w:val="none"/>
        </w:rPr>
        <w:t>以上地方人民政府或其授权的水行政主管部门、灌区管理单位可以进行回购，在保障区域内农业合理用水需求的前提下，进行重新配置或交易。</w:t>
      </w:r>
    </w:p>
    <w:p>
      <w:pPr>
        <w:keepNext w:val="0"/>
        <w:keepLines w:val="0"/>
        <w:pageBreakBefore w:val="0"/>
        <w:kinsoku/>
        <w:overflowPunct/>
        <w:topLinePunct w:val="0"/>
        <w:autoSpaceDE/>
        <w:autoSpaceDN/>
        <w:bidi w:val="0"/>
        <w:adjustRightInd/>
        <w:spacing w:beforeAutospacing="0" w:line="580" w:lineRule="exact"/>
        <w:ind w:firstLine="640"/>
        <w:textAlignment w:val="auto"/>
        <w:rPr>
          <w:rFonts w:hint="eastAsia" w:ascii="仿宋_GB2312" w:hAnsi="仿宋_GB2312" w:eastAsia="仿宋_GB2312" w:cs="仿宋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lang w:val="en-US" w:eastAsia="zh-CN"/>
        </w:rPr>
        <w:t>3.</w:t>
      </w:r>
      <w:r>
        <w:rPr>
          <w:rFonts w:hint="eastAsia" w:ascii="楷体_GB2312" w:hAnsi="楷体_GB2312" w:eastAsia="楷体_GB2312" w:cs="楷体_GB2312"/>
          <w:b w:val="0"/>
          <w:bCs w:val="0"/>
          <w:color w:val="auto"/>
          <w:sz w:val="32"/>
          <w:szCs w:val="32"/>
          <w:highlight w:val="none"/>
          <w:lang w:eastAsia="zh-CN"/>
        </w:rPr>
        <w:t>创新用水权交易</w:t>
      </w:r>
      <w:r>
        <w:rPr>
          <w:rFonts w:hint="eastAsia" w:ascii="楷体_GB2312" w:hAnsi="楷体_GB2312" w:eastAsia="楷体_GB2312" w:cs="楷体_GB2312"/>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鼓励</w:t>
      </w:r>
      <w:r>
        <w:rPr>
          <w:rFonts w:hint="eastAsia" w:ascii="仿宋_GB2312" w:hAnsi="仿宋_GB2312" w:eastAsia="仿宋_GB2312" w:cs="仿宋_GB2312"/>
          <w:b w:val="0"/>
          <w:bCs w:val="0"/>
          <w:color w:val="auto"/>
          <w:sz w:val="32"/>
          <w:szCs w:val="32"/>
          <w:highlight w:val="none"/>
          <w:lang w:eastAsia="zh-CN"/>
        </w:rPr>
        <w:t>旗县区</w:t>
      </w:r>
      <w:r>
        <w:rPr>
          <w:rFonts w:hint="eastAsia" w:ascii="仿宋_GB2312" w:hAnsi="仿宋_GB2312" w:eastAsia="仿宋_GB2312" w:cs="仿宋_GB2312"/>
          <w:b w:val="0"/>
          <w:bCs w:val="0"/>
          <w:color w:val="auto"/>
          <w:sz w:val="32"/>
          <w:szCs w:val="32"/>
          <w:highlight w:val="none"/>
        </w:rPr>
        <w:t>级以上水行政主管部门以优化区域水资源开发利用格局、培育水市场、</w:t>
      </w:r>
      <w:r>
        <w:rPr>
          <w:rFonts w:hint="eastAsia" w:ascii="仿宋_GB2312" w:hAnsi="仿宋_GB2312" w:eastAsia="仿宋_GB2312" w:cs="仿宋_GB2312"/>
          <w:b w:val="0"/>
          <w:bCs w:val="0"/>
          <w:color w:val="auto"/>
          <w:sz w:val="32"/>
          <w:szCs w:val="32"/>
          <w:highlight w:val="none"/>
          <w:lang w:eastAsia="zh-CN"/>
        </w:rPr>
        <w:t>提高水资源利用效益、</w:t>
      </w:r>
      <w:r>
        <w:rPr>
          <w:rFonts w:hint="eastAsia" w:ascii="仿宋_GB2312" w:hAnsi="仿宋_GB2312" w:eastAsia="仿宋_GB2312" w:cs="仿宋_GB2312"/>
          <w:b w:val="0"/>
          <w:bCs w:val="0"/>
          <w:color w:val="auto"/>
          <w:sz w:val="32"/>
          <w:szCs w:val="32"/>
          <w:highlight w:val="none"/>
        </w:rPr>
        <w:t>促进节约用水为目的，探索</w:t>
      </w:r>
      <w:r>
        <w:rPr>
          <w:rFonts w:hint="eastAsia" w:ascii="仿宋_GB2312" w:hAnsi="仿宋_GB2312" w:eastAsia="仿宋_GB2312" w:cs="仿宋_GB2312"/>
          <w:b w:val="0"/>
          <w:bCs w:val="0"/>
          <w:color w:val="auto"/>
          <w:sz w:val="32"/>
          <w:szCs w:val="32"/>
          <w:highlight w:val="none"/>
          <w:lang w:eastAsia="zh-CN"/>
        </w:rPr>
        <w:t>开展用</w:t>
      </w:r>
      <w:r>
        <w:rPr>
          <w:rFonts w:hint="eastAsia" w:ascii="仿宋_GB2312" w:hAnsi="仿宋_GB2312" w:eastAsia="仿宋_GB2312" w:cs="仿宋_GB2312"/>
          <w:b w:val="0"/>
          <w:bCs w:val="0"/>
          <w:color w:val="auto"/>
          <w:sz w:val="32"/>
          <w:szCs w:val="32"/>
          <w:highlight w:val="none"/>
        </w:rPr>
        <w:t>水权回购。开展政府回购的，由</w:t>
      </w:r>
      <w:r>
        <w:rPr>
          <w:rFonts w:hint="eastAsia" w:ascii="仿宋_GB2312" w:hAnsi="仿宋_GB2312" w:eastAsia="仿宋_GB2312" w:cs="仿宋_GB2312"/>
          <w:b w:val="0"/>
          <w:bCs w:val="0"/>
          <w:color w:val="auto"/>
          <w:sz w:val="32"/>
          <w:szCs w:val="32"/>
          <w:highlight w:val="none"/>
          <w:lang w:eastAsia="zh-CN"/>
        </w:rPr>
        <w:t>旗县</w:t>
      </w:r>
      <w:r>
        <w:rPr>
          <w:rFonts w:hint="eastAsia" w:ascii="仿宋_GB2312" w:hAnsi="仿宋_GB2312" w:eastAsia="仿宋_GB2312" w:cs="仿宋_GB2312"/>
          <w:b w:val="0"/>
          <w:bCs w:val="0"/>
          <w:color w:val="auto"/>
          <w:sz w:val="32"/>
          <w:szCs w:val="32"/>
          <w:highlight w:val="none"/>
        </w:rPr>
        <w:t>级以上水行政主管部门制定回购方案，并按方案开展回购。回购的</w:t>
      </w:r>
      <w:r>
        <w:rPr>
          <w:rFonts w:hint="eastAsia" w:ascii="仿宋_GB2312" w:hAnsi="仿宋_GB2312" w:eastAsia="仿宋_GB2312" w:cs="仿宋_GB2312"/>
          <w:b w:val="0"/>
          <w:bCs w:val="0"/>
          <w:color w:val="auto"/>
          <w:sz w:val="32"/>
          <w:szCs w:val="32"/>
          <w:highlight w:val="none"/>
          <w:lang w:eastAsia="zh-CN"/>
        </w:rPr>
        <w:t>用</w:t>
      </w:r>
      <w:r>
        <w:rPr>
          <w:rFonts w:hint="eastAsia" w:ascii="仿宋_GB2312" w:hAnsi="仿宋_GB2312" w:eastAsia="仿宋_GB2312" w:cs="仿宋_GB2312"/>
          <w:b w:val="0"/>
          <w:bCs w:val="0"/>
          <w:color w:val="auto"/>
          <w:sz w:val="32"/>
          <w:szCs w:val="32"/>
          <w:highlight w:val="none"/>
        </w:rPr>
        <w:t>水权应当优先满足生活用水和生态用水，尚有余量的，可以通过市场竞争方式进行配置。</w:t>
      </w:r>
    </w:p>
    <w:p>
      <w:pPr>
        <w:keepNext w:val="0"/>
        <w:keepLines w:val="0"/>
        <w:pageBreakBefore w:val="0"/>
        <w:kinsoku/>
        <w:overflowPunct/>
        <w:topLinePunct w:val="0"/>
        <w:autoSpaceDE/>
        <w:autoSpaceDN/>
        <w:bidi w:val="0"/>
        <w:adjustRightInd/>
        <w:spacing w:beforeAutospacing="0" w:line="580"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鼓励地方将用水权交易作为生态产品价值实现、生态保护补偿的重要手段，完善水权交易机制。鼓励社会资本通过参与节水供水工程建设运营，转让节约的水权获得合理收益。鼓励将通过合同节水管理取得的节水量纳入用水权交易。因地制宜推进再生水、矿坑水等非常规水资源交易，以及利用非常规水源置换的用水权交易。加强与金融机构沟通协调，协同研究探索通过用水权质押、抵押、担保等方式，为水资源节约保护和开发利用等提供融资支持。</w:t>
      </w:r>
    </w:p>
    <w:p>
      <w:pPr>
        <w:keepNext w:val="0"/>
        <w:keepLines w:val="0"/>
        <w:pageBreakBefore w:val="0"/>
        <w:numPr>
          <w:ilvl w:val="0"/>
          <w:numId w:val="0"/>
        </w:numPr>
        <w:kinsoku/>
        <w:overflowPunct/>
        <w:topLinePunct w:val="0"/>
        <w:autoSpaceDE/>
        <w:autoSpaceDN/>
        <w:bidi w:val="0"/>
        <w:adjustRightInd/>
        <w:spacing w:beforeAutospacing="0" w:line="580" w:lineRule="exact"/>
        <w:ind w:firstLine="640" w:firstLineChars="200"/>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（十）用水权交易条件、期限和权属变更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bidi="ar"/>
        </w:rPr>
        <w:t>1.交易条件。</w:t>
      </w:r>
      <w:r>
        <w:rPr>
          <w:rFonts w:hint="eastAsia" w:ascii="仿宋_GB2312" w:hAnsi="仿宋_GB2312" w:eastAsia="仿宋_GB2312" w:cs="仿宋_GB2312"/>
          <w:color w:val="auto"/>
          <w:sz w:val="32"/>
          <w:szCs w:val="32"/>
        </w:rPr>
        <w:t>用水总量达到或者接近区域用水总量控制指标的地区、水资源超载地区，除合理的新增生活用水需求外，其他新增用水应当通过用水权交易方式解决。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交易的区域用水权应当</w:t>
      </w:r>
      <w:r>
        <w:rPr>
          <w:rFonts w:hint="eastAsia" w:ascii="仿宋_GB2312" w:hAnsi="仿宋_GB2312" w:eastAsia="仿宋_GB2312" w:cs="仿宋_GB2312"/>
          <w:color w:val="auto"/>
          <w:sz w:val="32"/>
          <w:szCs w:val="32"/>
          <w:lang w:eastAsia="zh-CN"/>
        </w:rPr>
        <w:t>向</w:t>
      </w:r>
      <w:r>
        <w:rPr>
          <w:rFonts w:hint="eastAsia" w:ascii="仿宋_GB2312" w:hAnsi="仿宋_GB2312" w:eastAsia="仿宋_GB2312" w:cs="仿宋_GB2312"/>
          <w:color w:val="auto"/>
          <w:sz w:val="32"/>
          <w:szCs w:val="32"/>
        </w:rPr>
        <w:t>上一级水行政主管部门</w:t>
      </w:r>
      <w:r>
        <w:rPr>
          <w:rFonts w:hint="eastAsia" w:ascii="仿宋_GB2312" w:hAnsi="仿宋_GB2312" w:eastAsia="仿宋_GB2312" w:cs="仿宋_GB2312"/>
          <w:color w:val="auto"/>
          <w:sz w:val="32"/>
          <w:szCs w:val="32"/>
          <w:lang w:eastAsia="zh-CN"/>
        </w:rPr>
        <w:t>备案</w:t>
      </w:r>
      <w:r>
        <w:rPr>
          <w:rFonts w:hint="eastAsia" w:ascii="仿宋_GB2312" w:hAnsi="仿宋_GB2312" w:eastAsia="仿宋_GB2312" w:cs="仿宋_GB2312"/>
          <w:color w:val="auto"/>
          <w:sz w:val="32"/>
          <w:szCs w:val="32"/>
        </w:rPr>
        <w:t>，交易的用水户用水权应当取得用水权</w:t>
      </w:r>
      <w:r>
        <w:rPr>
          <w:rFonts w:hint="eastAsia" w:ascii="仿宋_GB2312" w:hAnsi="仿宋_GB2312" w:eastAsia="仿宋_GB2312" w:cs="仿宋_GB2312"/>
          <w:color w:val="auto"/>
          <w:sz w:val="32"/>
          <w:szCs w:val="32"/>
          <w:lang w:eastAsia="zh-CN"/>
        </w:rPr>
        <w:t>确认</w:t>
      </w:r>
      <w:r>
        <w:rPr>
          <w:rFonts w:hint="eastAsia" w:ascii="仿宋_GB2312" w:hAnsi="仿宋_GB2312" w:eastAsia="仿宋_GB2312" w:cs="仿宋_GB2312"/>
          <w:color w:val="auto"/>
          <w:sz w:val="32"/>
          <w:szCs w:val="32"/>
        </w:rPr>
        <w:t>凭证，并具备相应的</w:t>
      </w:r>
      <w:r>
        <w:rPr>
          <w:rFonts w:hint="eastAsia" w:ascii="仿宋_GB2312" w:hAnsi="仿宋_GB2312" w:eastAsia="仿宋_GB2312" w:cs="仿宋_GB2312"/>
          <w:color w:val="auto"/>
          <w:sz w:val="32"/>
          <w:szCs w:val="32"/>
          <w:lang w:eastAsia="zh-CN"/>
        </w:rPr>
        <w:t>取水</w:t>
      </w:r>
      <w:r>
        <w:rPr>
          <w:rFonts w:hint="eastAsia" w:ascii="仿宋_GB2312" w:hAnsi="仿宋_GB2312" w:eastAsia="仿宋_GB2312" w:cs="仿宋_GB2312"/>
          <w:color w:val="auto"/>
          <w:sz w:val="32"/>
          <w:szCs w:val="32"/>
        </w:rPr>
        <w:t>工程条件和计量监测能力。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地表水用水权交易应当在同一流域或者具有水力联系，且具备取水工程条件的区域进行，地下水用水权交易应当在同一水文地质单元内进行。</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val="en-US" w:eastAsia="zh-CN" w:bidi="ar"/>
        </w:rPr>
        <w:t>2.交易期限。</w:t>
      </w:r>
      <w:r>
        <w:rPr>
          <w:rFonts w:hint="eastAsia" w:ascii="仿宋_GB2312" w:hAnsi="仿宋_GB2312" w:eastAsia="仿宋_GB2312" w:cs="仿宋_GB2312"/>
          <w:color w:val="auto"/>
          <w:sz w:val="32"/>
          <w:szCs w:val="32"/>
          <w:highlight w:val="none"/>
          <w:lang w:bidi="ar"/>
        </w:rPr>
        <w:t>区域水权交易期限一般由交易双方依据区域可交易水量的使用期限、经济社会发展情况、生态环境影响等协商确定，一般不超过10年。</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用水户</w:t>
      </w:r>
      <w:r>
        <w:rPr>
          <w:rFonts w:hint="eastAsia" w:ascii="仿宋_GB2312" w:hAnsi="仿宋_GB2312" w:eastAsia="仿宋_GB2312" w:cs="仿宋_GB2312"/>
          <w:color w:val="auto"/>
          <w:sz w:val="32"/>
          <w:szCs w:val="32"/>
          <w:highlight w:val="none"/>
          <w:lang w:eastAsia="zh-CN" w:bidi="ar"/>
        </w:rPr>
        <w:t>的用</w:t>
      </w:r>
      <w:r>
        <w:rPr>
          <w:rFonts w:hint="eastAsia" w:ascii="仿宋_GB2312" w:hAnsi="仿宋_GB2312" w:eastAsia="仿宋_GB2312" w:cs="仿宋_GB2312"/>
          <w:color w:val="auto"/>
          <w:sz w:val="32"/>
          <w:szCs w:val="32"/>
          <w:highlight w:val="none"/>
          <w:lang w:bidi="ar"/>
        </w:rPr>
        <w:t>水权交易期限应当不超过</w:t>
      </w:r>
      <w:r>
        <w:rPr>
          <w:rFonts w:hint="eastAsia" w:ascii="仿宋_GB2312" w:hAnsi="仿宋_GB2312" w:eastAsia="仿宋_GB2312" w:cs="仿宋_GB2312"/>
          <w:color w:val="auto"/>
          <w:sz w:val="32"/>
          <w:szCs w:val="32"/>
          <w:highlight w:val="none"/>
          <w:lang w:eastAsia="zh-CN" w:bidi="ar"/>
        </w:rPr>
        <w:t>取水许可或者</w:t>
      </w:r>
      <w:r>
        <w:rPr>
          <w:rFonts w:hint="eastAsia" w:ascii="仿宋_GB2312" w:hAnsi="仿宋_GB2312" w:eastAsia="仿宋_GB2312" w:cs="仿宋_GB2312"/>
          <w:color w:val="auto"/>
          <w:sz w:val="32"/>
          <w:szCs w:val="32"/>
          <w:highlight w:val="none"/>
          <w:lang w:bidi="ar"/>
        </w:rPr>
        <w:t>用水权</w:t>
      </w:r>
      <w:r>
        <w:rPr>
          <w:rFonts w:hint="eastAsia" w:ascii="仿宋_GB2312" w:hAnsi="仿宋_GB2312" w:eastAsia="仿宋_GB2312" w:cs="仿宋_GB2312"/>
          <w:color w:val="auto"/>
          <w:sz w:val="32"/>
          <w:szCs w:val="32"/>
          <w:highlight w:val="none"/>
          <w:lang w:eastAsia="zh-CN" w:bidi="ar"/>
        </w:rPr>
        <w:t>确认</w:t>
      </w:r>
      <w:r>
        <w:rPr>
          <w:rFonts w:hint="eastAsia" w:ascii="仿宋_GB2312" w:hAnsi="仿宋_GB2312" w:eastAsia="仿宋_GB2312" w:cs="仿宋_GB2312"/>
          <w:color w:val="auto"/>
          <w:sz w:val="32"/>
          <w:szCs w:val="32"/>
          <w:highlight w:val="none"/>
          <w:lang w:bidi="ar"/>
        </w:rPr>
        <w:t>凭证</w:t>
      </w:r>
      <w:r>
        <w:rPr>
          <w:rFonts w:hint="eastAsia" w:ascii="仿宋_GB2312" w:hAnsi="仿宋_GB2312" w:eastAsia="仿宋_GB2312" w:cs="仿宋_GB2312"/>
          <w:color w:val="auto"/>
          <w:sz w:val="32"/>
          <w:szCs w:val="32"/>
          <w:highlight w:val="none"/>
          <w:lang w:eastAsia="zh-CN" w:bidi="ar"/>
        </w:rPr>
        <w:t>有限</w:t>
      </w:r>
      <w:r>
        <w:rPr>
          <w:rFonts w:hint="eastAsia" w:ascii="仿宋_GB2312" w:hAnsi="仿宋_GB2312" w:eastAsia="仿宋_GB2312" w:cs="仿宋_GB2312"/>
          <w:color w:val="auto"/>
          <w:sz w:val="32"/>
          <w:szCs w:val="32"/>
          <w:highlight w:val="none"/>
          <w:lang w:bidi="ar"/>
        </w:rPr>
        <w:t>期限。</w:t>
      </w:r>
    </w:p>
    <w:p>
      <w:pPr>
        <w:pStyle w:val="2"/>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灌区通过实施节水改造工程转让用水权的，交易期限</w:t>
      </w:r>
      <w:r>
        <w:rPr>
          <w:rFonts w:hint="eastAsia" w:ascii="仿宋_GB2312" w:hAnsi="仿宋_GB2312" w:eastAsia="仿宋_GB2312" w:cs="仿宋_GB2312"/>
          <w:color w:val="auto"/>
          <w:sz w:val="32"/>
          <w:szCs w:val="32"/>
          <w:highlight w:val="none"/>
          <w:lang w:eastAsia="zh-CN" w:bidi="ar"/>
        </w:rPr>
        <w:t>最长</w:t>
      </w:r>
      <w:r>
        <w:rPr>
          <w:rFonts w:hint="eastAsia" w:ascii="仿宋_GB2312" w:hAnsi="仿宋_GB2312" w:eastAsia="仿宋_GB2312" w:cs="仿宋_GB2312"/>
          <w:color w:val="auto"/>
          <w:sz w:val="32"/>
          <w:szCs w:val="32"/>
          <w:highlight w:val="none"/>
          <w:lang w:bidi="ar"/>
        </w:rPr>
        <w:t>不超过25年。</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val="en-US" w:eastAsia="zh-CN" w:bidi="ar"/>
        </w:rPr>
        <w:t>3.权属变更。</w:t>
      </w:r>
      <w:r>
        <w:rPr>
          <w:rFonts w:hint="eastAsia" w:ascii="仿宋_GB2312" w:hAnsi="仿宋_GB2312" w:eastAsia="仿宋_GB2312" w:cs="仿宋_GB2312"/>
          <w:color w:val="auto"/>
          <w:sz w:val="32"/>
          <w:szCs w:val="32"/>
          <w:highlight w:val="none"/>
          <w:lang w:bidi="ar"/>
        </w:rPr>
        <w:t>区域水权交易完成后，由受让方将交易协议报交易双方共同的上一级水行政主管部门备案。</w:t>
      </w:r>
      <w:r>
        <w:rPr>
          <w:rFonts w:hint="eastAsia" w:ascii="仿宋_GB2312" w:hAnsi="仿宋_GB2312" w:eastAsia="仿宋_GB2312" w:cs="仿宋_GB2312"/>
          <w:color w:val="auto"/>
          <w:sz w:val="32"/>
          <w:szCs w:val="32"/>
          <w:highlight w:val="none"/>
          <w:lang w:eastAsia="zh-CN" w:bidi="ar"/>
        </w:rPr>
        <w:t>交易期满后，交易的区域水权归还转让方，交易协议另有约定的，从其约定。</w:t>
      </w:r>
      <w:r>
        <w:rPr>
          <w:rFonts w:hint="eastAsia" w:ascii="仿宋_GB2312" w:hAnsi="仿宋_GB2312" w:eastAsia="仿宋_GB2312" w:cs="仿宋_GB2312"/>
          <w:color w:val="auto"/>
          <w:sz w:val="32"/>
          <w:szCs w:val="32"/>
          <w:highlight w:val="none"/>
          <w:lang w:bidi="ar"/>
        </w:rPr>
        <w:t>在交易期限内，转让方转出水量在本行政区域用水总量控制指标或者水量调度分配指标中进行核减，受让方相应核增。</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eastAsia="zh-CN" w:bidi="ar"/>
        </w:rPr>
        <w:t>取用水户的用</w:t>
      </w:r>
      <w:r>
        <w:rPr>
          <w:rFonts w:hint="eastAsia" w:ascii="仿宋_GB2312" w:hAnsi="仿宋_GB2312" w:eastAsia="仿宋_GB2312" w:cs="仿宋_GB2312"/>
          <w:color w:val="auto"/>
          <w:sz w:val="32"/>
          <w:szCs w:val="32"/>
          <w:highlight w:val="none"/>
          <w:lang w:bidi="ar"/>
        </w:rPr>
        <w:t>水权交易期限一年以内的，不需要办理取水许可变更手续，但应当向</w:t>
      </w:r>
      <w:r>
        <w:rPr>
          <w:rFonts w:hint="eastAsia" w:ascii="仿宋_GB2312" w:hAnsi="仿宋_GB2312" w:eastAsia="仿宋_GB2312" w:cs="仿宋_GB2312"/>
          <w:color w:val="auto"/>
          <w:sz w:val="32"/>
          <w:szCs w:val="32"/>
          <w:highlight w:val="none"/>
          <w:lang w:eastAsia="zh-CN" w:bidi="ar"/>
        </w:rPr>
        <w:t>具</w:t>
      </w:r>
      <w:r>
        <w:rPr>
          <w:rFonts w:hint="eastAsia" w:ascii="仿宋_GB2312" w:hAnsi="仿宋_GB2312" w:eastAsia="仿宋_GB2312" w:cs="仿宋_GB2312"/>
          <w:color w:val="auto"/>
          <w:sz w:val="32"/>
          <w:szCs w:val="32"/>
          <w:highlight w:val="none"/>
          <w:lang w:bidi="ar"/>
        </w:rPr>
        <w:t>有管辖权的水行政主管部门备案。</w:t>
      </w:r>
      <w:r>
        <w:rPr>
          <w:rFonts w:hint="eastAsia" w:ascii="仿宋_GB2312" w:hAnsi="仿宋_GB2312" w:eastAsia="仿宋_GB2312" w:cs="仿宋_GB2312"/>
          <w:color w:val="auto"/>
          <w:sz w:val="32"/>
          <w:szCs w:val="32"/>
          <w:highlight w:val="none"/>
          <w:lang w:eastAsia="zh-CN" w:bidi="ar"/>
        </w:rPr>
        <w:t>具</w:t>
      </w:r>
      <w:r>
        <w:rPr>
          <w:rFonts w:hint="eastAsia" w:ascii="仿宋_GB2312" w:hAnsi="仿宋_GB2312" w:eastAsia="仿宋_GB2312" w:cs="仿宋_GB2312"/>
          <w:color w:val="auto"/>
          <w:sz w:val="32"/>
          <w:szCs w:val="32"/>
          <w:highlight w:val="none"/>
          <w:lang w:bidi="ar"/>
        </w:rPr>
        <w:t>有管辖权的水行政主管部门应当对交易后双方的水源、水量、用途、年度用水计划等进行监管。交易期限超过一年的，交易双方交易完成后应当依法办理取水许可</w:t>
      </w:r>
      <w:r>
        <w:rPr>
          <w:rFonts w:hint="eastAsia" w:ascii="仿宋_GB2312" w:hAnsi="仿宋_GB2312" w:eastAsia="仿宋_GB2312" w:cs="仿宋_GB2312"/>
          <w:color w:val="auto"/>
          <w:sz w:val="32"/>
          <w:szCs w:val="32"/>
          <w:highlight w:val="none"/>
          <w:lang w:eastAsia="zh-CN" w:bidi="ar"/>
        </w:rPr>
        <w:t>及</w:t>
      </w:r>
      <w:r>
        <w:rPr>
          <w:rFonts w:hint="eastAsia" w:ascii="仿宋_GB2312" w:hAnsi="仿宋_GB2312" w:eastAsia="仿宋_GB2312" w:cs="仿宋_GB2312"/>
          <w:color w:val="auto"/>
          <w:sz w:val="32"/>
          <w:szCs w:val="32"/>
          <w:highlight w:val="none"/>
          <w:lang w:bidi="ar"/>
        </w:rPr>
        <w:t>用水权</w:t>
      </w:r>
      <w:r>
        <w:rPr>
          <w:rFonts w:hint="eastAsia" w:ascii="仿宋_GB2312" w:hAnsi="仿宋_GB2312" w:eastAsia="仿宋_GB2312" w:cs="仿宋_GB2312"/>
          <w:color w:val="auto"/>
          <w:sz w:val="32"/>
          <w:szCs w:val="32"/>
          <w:highlight w:val="none"/>
          <w:lang w:eastAsia="zh-CN" w:bidi="ar"/>
        </w:rPr>
        <w:t>确认</w:t>
      </w:r>
      <w:r>
        <w:rPr>
          <w:rFonts w:hint="eastAsia" w:ascii="仿宋_GB2312" w:hAnsi="仿宋_GB2312" w:eastAsia="仿宋_GB2312" w:cs="仿宋_GB2312"/>
          <w:color w:val="auto"/>
          <w:sz w:val="32"/>
          <w:szCs w:val="32"/>
          <w:highlight w:val="none"/>
          <w:lang w:bidi="ar"/>
        </w:rPr>
        <w:t>凭证变更手续。</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灌溉用水户、公共供水管网用水户和集中供水工程用水户、非常规水资源用水户等</w:t>
      </w:r>
      <w:r>
        <w:rPr>
          <w:rFonts w:hint="eastAsia" w:ascii="仿宋_GB2312" w:hAnsi="仿宋_GB2312" w:eastAsia="仿宋_GB2312" w:cs="仿宋_GB2312"/>
          <w:color w:val="auto"/>
          <w:sz w:val="32"/>
          <w:szCs w:val="32"/>
          <w:highlight w:val="none"/>
          <w:lang w:eastAsia="zh-CN" w:bidi="ar"/>
        </w:rPr>
        <w:t>用</w:t>
      </w:r>
      <w:r>
        <w:rPr>
          <w:rFonts w:hint="eastAsia" w:ascii="仿宋_GB2312" w:hAnsi="仿宋_GB2312" w:eastAsia="仿宋_GB2312" w:cs="仿宋_GB2312"/>
          <w:color w:val="auto"/>
          <w:sz w:val="32"/>
          <w:szCs w:val="32"/>
          <w:highlight w:val="none"/>
          <w:lang w:bidi="ar"/>
        </w:rPr>
        <w:t>水权交易期限在一年以内的，不需要办理用水权</w:t>
      </w:r>
      <w:r>
        <w:rPr>
          <w:rFonts w:hint="eastAsia" w:ascii="仿宋_GB2312" w:hAnsi="仿宋_GB2312" w:eastAsia="仿宋_GB2312" w:cs="仿宋_GB2312"/>
          <w:color w:val="auto"/>
          <w:sz w:val="32"/>
          <w:szCs w:val="32"/>
          <w:highlight w:val="none"/>
          <w:lang w:eastAsia="zh-CN" w:bidi="ar"/>
        </w:rPr>
        <w:t>确认</w:t>
      </w:r>
      <w:r>
        <w:rPr>
          <w:rFonts w:hint="eastAsia" w:ascii="仿宋_GB2312" w:hAnsi="仿宋_GB2312" w:eastAsia="仿宋_GB2312" w:cs="仿宋_GB2312"/>
          <w:color w:val="auto"/>
          <w:sz w:val="32"/>
          <w:szCs w:val="32"/>
          <w:highlight w:val="none"/>
          <w:lang w:bidi="ar"/>
        </w:rPr>
        <w:t>凭证变更手续，具有管辖权的水行政主管部门应当对交易后双方的水源、水量、取水用途、年度用水计划等进行监管。交易期限超过一年的，交易双方交易完成后应当依法办理取水许可</w:t>
      </w:r>
      <w:r>
        <w:rPr>
          <w:rFonts w:hint="eastAsia" w:ascii="仿宋_GB2312" w:hAnsi="仿宋_GB2312" w:eastAsia="仿宋_GB2312" w:cs="仿宋_GB2312"/>
          <w:color w:val="auto"/>
          <w:sz w:val="32"/>
          <w:szCs w:val="32"/>
          <w:highlight w:val="none"/>
          <w:lang w:eastAsia="zh-CN" w:bidi="ar"/>
        </w:rPr>
        <w:t>及</w:t>
      </w:r>
      <w:r>
        <w:rPr>
          <w:rFonts w:hint="eastAsia" w:ascii="仿宋_GB2312" w:hAnsi="仿宋_GB2312" w:eastAsia="仿宋_GB2312" w:cs="仿宋_GB2312"/>
          <w:color w:val="auto"/>
          <w:sz w:val="32"/>
          <w:szCs w:val="32"/>
          <w:highlight w:val="none"/>
          <w:lang w:bidi="ar"/>
        </w:rPr>
        <w:t>用水权</w:t>
      </w:r>
      <w:r>
        <w:rPr>
          <w:rFonts w:hint="eastAsia" w:ascii="仿宋_GB2312" w:hAnsi="仿宋_GB2312" w:eastAsia="仿宋_GB2312" w:cs="仿宋_GB2312"/>
          <w:color w:val="auto"/>
          <w:sz w:val="32"/>
          <w:szCs w:val="32"/>
          <w:highlight w:val="none"/>
          <w:lang w:eastAsia="zh-CN" w:bidi="ar"/>
        </w:rPr>
        <w:t>确认</w:t>
      </w:r>
      <w:r>
        <w:rPr>
          <w:rFonts w:hint="eastAsia" w:ascii="仿宋_GB2312" w:hAnsi="仿宋_GB2312" w:eastAsia="仿宋_GB2312" w:cs="仿宋_GB2312"/>
          <w:color w:val="auto"/>
          <w:sz w:val="32"/>
          <w:szCs w:val="32"/>
          <w:highlight w:val="none"/>
          <w:lang w:bidi="ar"/>
        </w:rPr>
        <w:t>凭证变更手续。</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default" w:eastAsia="仿宋_GB2312"/>
          <w:color w:val="auto"/>
          <w:highlight w:val="none"/>
          <w:lang w:val="en-US" w:eastAsia="zh-CN"/>
        </w:rPr>
      </w:pPr>
      <w:r>
        <w:rPr>
          <w:rFonts w:hint="eastAsia" w:ascii="仿宋_GB2312" w:hAnsi="仿宋_GB2312" w:eastAsia="仿宋_GB2312" w:cs="仿宋_GB2312"/>
          <w:color w:val="auto"/>
          <w:sz w:val="32"/>
          <w:szCs w:val="32"/>
          <w:highlight w:val="none"/>
          <w:lang w:eastAsia="zh-CN" w:bidi="ar"/>
        </w:rPr>
        <w:t>用水户的用水权</w:t>
      </w:r>
      <w:r>
        <w:rPr>
          <w:rFonts w:hint="eastAsia" w:ascii="仿宋_GB2312" w:hAnsi="仿宋_GB2312" w:eastAsia="仿宋_GB2312" w:cs="仿宋_GB2312"/>
          <w:color w:val="auto"/>
          <w:sz w:val="32"/>
          <w:szCs w:val="32"/>
          <w:highlight w:val="none"/>
          <w:lang w:bidi="ar"/>
        </w:rPr>
        <w:t>交易期届满后，用水权归还转让方；需要延续的，经双方协商同意可以在</w:t>
      </w:r>
      <w:r>
        <w:rPr>
          <w:rFonts w:hint="eastAsia" w:ascii="仿宋_GB2312" w:hAnsi="仿宋_GB2312" w:eastAsia="仿宋_GB2312" w:cs="仿宋_GB2312"/>
          <w:color w:val="auto"/>
          <w:sz w:val="32"/>
          <w:szCs w:val="32"/>
          <w:highlight w:val="none"/>
          <w:lang w:eastAsia="zh-CN" w:bidi="ar"/>
        </w:rPr>
        <w:t>转让方取水许可或者</w:t>
      </w:r>
      <w:r>
        <w:rPr>
          <w:rFonts w:hint="eastAsia" w:ascii="仿宋_GB2312" w:hAnsi="仿宋_GB2312" w:eastAsia="仿宋_GB2312" w:cs="仿宋_GB2312"/>
          <w:color w:val="auto"/>
          <w:sz w:val="32"/>
          <w:szCs w:val="32"/>
          <w:highlight w:val="none"/>
          <w:lang w:bidi="ar"/>
        </w:rPr>
        <w:t>用水权</w:t>
      </w:r>
      <w:r>
        <w:rPr>
          <w:rFonts w:hint="eastAsia" w:ascii="仿宋_GB2312" w:hAnsi="仿宋_GB2312" w:eastAsia="仿宋_GB2312" w:cs="仿宋_GB2312"/>
          <w:color w:val="auto"/>
          <w:sz w:val="32"/>
          <w:szCs w:val="32"/>
          <w:highlight w:val="none"/>
          <w:lang w:eastAsia="zh-CN" w:bidi="ar"/>
        </w:rPr>
        <w:t>确认</w:t>
      </w:r>
      <w:r>
        <w:rPr>
          <w:rFonts w:hint="eastAsia" w:ascii="仿宋_GB2312" w:hAnsi="仿宋_GB2312" w:eastAsia="仿宋_GB2312" w:cs="仿宋_GB2312"/>
          <w:color w:val="auto"/>
          <w:sz w:val="32"/>
          <w:szCs w:val="32"/>
          <w:highlight w:val="none"/>
          <w:lang w:bidi="ar"/>
        </w:rPr>
        <w:t>凭证有效期内延续，并向具有管辖权的水行政主管部门备案。</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580" w:lineRule="exact"/>
        <w:ind w:right="0" w:rightChars="0"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四、构建积极的用水权交易市场</w:t>
      </w:r>
    </w:p>
    <w:p>
      <w:pPr>
        <w:keepNext w:val="0"/>
        <w:keepLines w:val="0"/>
        <w:pageBreakBefore w:val="0"/>
        <w:numPr>
          <w:ilvl w:val="0"/>
          <w:numId w:val="0"/>
        </w:numPr>
        <w:kinsoku/>
        <w:overflowPunct/>
        <w:topLinePunct w:val="0"/>
        <w:autoSpaceDE/>
        <w:autoSpaceDN/>
        <w:bidi w:val="0"/>
        <w:adjustRightInd/>
        <w:spacing w:beforeAutospacing="0" w:line="580" w:lineRule="exact"/>
        <w:ind w:firstLine="640" w:firstLineChars="200"/>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（十一）建立健全水权交易系统。</w:t>
      </w:r>
      <w:r>
        <w:rPr>
          <w:rFonts w:hint="eastAsia" w:ascii="仿宋_GB2312" w:hAnsi="仿宋_GB2312" w:eastAsia="仿宋_GB2312" w:cs="仿宋_GB2312"/>
          <w:color w:val="auto"/>
          <w:sz w:val="32"/>
          <w:szCs w:val="32"/>
          <w:highlight w:val="none"/>
          <w:lang w:bidi="ar"/>
        </w:rPr>
        <w:t>依托</w:t>
      </w:r>
      <w:r>
        <w:rPr>
          <w:rFonts w:hint="eastAsia" w:ascii="仿宋_GB2312" w:hAnsi="仿宋_GB2312" w:eastAsia="仿宋_GB2312" w:cs="仿宋_GB2312"/>
          <w:color w:val="auto"/>
          <w:sz w:val="32"/>
          <w:szCs w:val="32"/>
          <w:highlight w:val="none"/>
          <w:lang w:eastAsia="zh-CN" w:bidi="ar"/>
        </w:rPr>
        <w:t>自治区各级</w:t>
      </w:r>
      <w:r>
        <w:rPr>
          <w:rFonts w:hint="eastAsia" w:ascii="仿宋_GB2312" w:hAnsi="仿宋_GB2312" w:eastAsia="仿宋_GB2312" w:cs="仿宋_GB2312"/>
          <w:color w:val="auto"/>
          <w:sz w:val="32"/>
          <w:szCs w:val="32"/>
          <w:highlight w:val="none"/>
          <w:lang w:bidi="ar"/>
        </w:rPr>
        <w:t>公共资源电子交易平台，</w:t>
      </w:r>
      <w:r>
        <w:rPr>
          <w:rFonts w:hint="eastAsia" w:ascii="仿宋_GB2312" w:hAnsi="仿宋_GB2312" w:eastAsia="仿宋_GB2312" w:cs="仿宋_GB2312"/>
          <w:color w:val="auto"/>
          <w:sz w:val="32"/>
          <w:szCs w:val="32"/>
          <w:highlight w:val="none"/>
          <w:lang w:eastAsia="zh-CN" w:bidi="ar"/>
        </w:rPr>
        <w:t>建立健全自治区</w:t>
      </w:r>
      <w:r>
        <w:rPr>
          <w:rFonts w:hint="eastAsia" w:ascii="仿宋_GB2312" w:hAnsi="仿宋_GB2312" w:eastAsia="仿宋_GB2312" w:cs="仿宋_GB2312"/>
          <w:color w:val="auto"/>
          <w:sz w:val="32"/>
          <w:szCs w:val="32"/>
          <w:highlight w:val="none"/>
          <w:lang w:bidi="ar"/>
        </w:rPr>
        <w:t>水权交易系统，统一交易规则、技术标准、数据规范，进一步规范</w:t>
      </w:r>
      <w:r>
        <w:rPr>
          <w:rFonts w:hint="eastAsia" w:ascii="仿宋_GB2312" w:hAnsi="仿宋_GB2312" w:eastAsia="仿宋_GB2312" w:cs="仿宋_GB2312"/>
          <w:color w:val="auto"/>
          <w:sz w:val="32"/>
          <w:szCs w:val="32"/>
          <w:highlight w:val="none"/>
          <w:lang w:eastAsia="zh-CN" w:bidi="ar"/>
        </w:rPr>
        <w:t>用</w:t>
      </w:r>
      <w:r>
        <w:rPr>
          <w:rFonts w:hint="eastAsia" w:ascii="仿宋_GB2312" w:hAnsi="仿宋_GB2312" w:eastAsia="仿宋_GB2312" w:cs="仿宋_GB2312"/>
          <w:color w:val="auto"/>
          <w:sz w:val="32"/>
          <w:szCs w:val="32"/>
          <w:highlight w:val="none"/>
          <w:lang w:bidi="ar"/>
        </w:rPr>
        <w:t>水权交易行为。做好与国家水权交易平台的有效衔接，加强信息资源共享和互通，支撑</w:t>
      </w:r>
      <w:r>
        <w:rPr>
          <w:rFonts w:hint="eastAsia" w:ascii="仿宋_GB2312" w:hAnsi="仿宋_GB2312" w:eastAsia="仿宋_GB2312" w:cs="仿宋_GB2312"/>
          <w:color w:val="auto"/>
          <w:sz w:val="32"/>
          <w:szCs w:val="32"/>
          <w:highlight w:val="none"/>
          <w:lang w:eastAsia="zh-CN" w:bidi="ar"/>
        </w:rPr>
        <w:t>自治区用</w:t>
      </w:r>
      <w:r>
        <w:rPr>
          <w:rFonts w:hint="eastAsia" w:ascii="仿宋_GB2312" w:hAnsi="仿宋_GB2312" w:eastAsia="仿宋_GB2312" w:cs="仿宋_GB2312"/>
          <w:color w:val="auto"/>
          <w:sz w:val="32"/>
          <w:szCs w:val="32"/>
          <w:highlight w:val="none"/>
          <w:lang w:bidi="ar"/>
        </w:rPr>
        <w:t>水权交易安全、高效、规范开展。</w:t>
      </w:r>
    </w:p>
    <w:p>
      <w:pPr>
        <w:keepNext w:val="0"/>
        <w:keepLines w:val="0"/>
        <w:pageBreakBefore w:val="0"/>
        <w:kinsoku/>
        <w:overflowPunct/>
        <w:topLinePunct w:val="0"/>
        <w:autoSpaceDE/>
        <w:autoSpaceDN/>
        <w:bidi w:val="0"/>
        <w:adjustRightInd/>
        <w:spacing w:beforeAutospacing="0" w:line="580" w:lineRule="exact"/>
        <w:ind w:firstLine="640"/>
        <w:textAlignment w:val="auto"/>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（十二）</w:t>
      </w:r>
      <w:r>
        <w:rPr>
          <w:rFonts w:hint="eastAsia" w:ascii="楷体_GB2312" w:hAnsi="楷体_GB2312" w:eastAsia="楷体_GB2312" w:cs="楷体_GB2312"/>
          <w:color w:val="auto"/>
          <w:sz w:val="32"/>
          <w:szCs w:val="32"/>
          <w:highlight w:val="none"/>
        </w:rPr>
        <w:t>灵活选择交易方式和平台</w:t>
      </w:r>
      <w:r>
        <w:rPr>
          <w:rFonts w:hint="eastAsia" w:ascii="楷体_GB2312" w:hAnsi="楷体_GB2312" w:eastAsia="楷体_GB2312" w:cs="楷体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bidi="ar"/>
        </w:rPr>
        <w:t>水权交易可采取公开交易、协议转让、政府回购、收储等方式进行。采取公开交易的，</w:t>
      </w:r>
      <w:r>
        <w:rPr>
          <w:rFonts w:hint="eastAsia" w:ascii="仿宋_GB2312" w:hAnsi="仿宋_GB2312" w:eastAsia="仿宋_GB2312" w:cs="仿宋_GB2312"/>
          <w:color w:val="auto"/>
          <w:sz w:val="32"/>
          <w:szCs w:val="32"/>
          <w:highlight w:val="none"/>
          <w:lang w:bidi="ar"/>
        </w:rPr>
        <w:t>通过</w:t>
      </w:r>
      <w:r>
        <w:rPr>
          <w:rFonts w:hint="eastAsia" w:ascii="仿宋_GB2312" w:hAnsi="仿宋_GB2312" w:eastAsia="仿宋_GB2312" w:cs="仿宋_GB2312"/>
          <w:color w:val="auto"/>
          <w:sz w:val="32"/>
          <w:szCs w:val="32"/>
          <w:highlight w:val="none"/>
          <w:lang w:eastAsia="zh-CN" w:bidi="ar"/>
        </w:rPr>
        <w:t>自治区各级</w:t>
      </w:r>
      <w:r>
        <w:rPr>
          <w:rFonts w:hint="eastAsia" w:ascii="仿宋_GB2312" w:hAnsi="仿宋_GB2312" w:eastAsia="仿宋_GB2312" w:cs="仿宋_GB2312"/>
          <w:color w:val="auto"/>
          <w:sz w:val="32"/>
          <w:szCs w:val="32"/>
          <w:highlight w:val="none"/>
          <w:lang w:bidi="ar"/>
        </w:rPr>
        <w:t>公共资源交易平台进行</w:t>
      </w:r>
      <w:r>
        <w:rPr>
          <w:rFonts w:hint="eastAsia" w:ascii="仿宋_GB2312" w:hAnsi="仿宋_GB2312" w:eastAsia="仿宋_GB2312" w:cs="仿宋_GB2312"/>
          <w:color w:val="auto"/>
          <w:sz w:val="32"/>
          <w:szCs w:val="32"/>
          <w:highlight w:val="none"/>
          <w:lang w:eastAsia="zh-CN" w:bidi="ar"/>
        </w:rPr>
        <w:t>。其中</w:t>
      </w:r>
      <w:r>
        <w:rPr>
          <w:rFonts w:hint="eastAsia" w:ascii="仿宋_GB2312" w:hAnsi="仿宋_GB2312" w:eastAsia="仿宋_GB2312" w:cs="仿宋_GB2312"/>
          <w:color w:val="auto"/>
          <w:sz w:val="32"/>
          <w:szCs w:val="32"/>
          <w:highlight w:val="none"/>
        </w:rPr>
        <w:t>跨水资源一级区、跨省区的区域水权交易，流域管理机构审批的取水权交易，以及水资源超载地区的用水权交易原则上应当在国家水权交易平台进行</w:t>
      </w:r>
      <w:r>
        <w:rPr>
          <w:rFonts w:hint="eastAsia" w:ascii="仿宋_GB2312" w:hAnsi="仿宋_GB2312" w:eastAsia="仿宋_GB2312" w:cs="仿宋_GB2312"/>
          <w:color w:val="auto"/>
          <w:sz w:val="32"/>
          <w:szCs w:val="32"/>
          <w:highlight w:val="none"/>
          <w:lang w:eastAsia="zh-CN" w:bidi="ar"/>
        </w:rPr>
        <w:t>；采取协议转让的，由交易双方协商确定交易水量、期限、价格等，在</w:t>
      </w:r>
      <w:r>
        <w:rPr>
          <w:rFonts w:hint="eastAsia" w:ascii="仿宋_GB2312" w:hAnsi="仿宋_GB2312" w:eastAsia="仿宋_GB2312" w:cs="仿宋_GB2312"/>
          <w:color w:val="auto"/>
          <w:sz w:val="32"/>
          <w:szCs w:val="32"/>
          <w:highlight w:val="none"/>
          <w:lang w:bidi="ar"/>
        </w:rPr>
        <w:t>公共资源交易平台</w:t>
      </w:r>
      <w:r>
        <w:rPr>
          <w:rFonts w:hint="eastAsia" w:ascii="仿宋_GB2312" w:hAnsi="仿宋_GB2312" w:eastAsia="仿宋_GB2312" w:cs="仿宋_GB2312"/>
          <w:color w:val="auto"/>
          <w:sz w:val="32"/>
          <w:szCs w:val="32"/>
          <w:highlight w:val="none"/>
          <w:lang w:eastAsia="zh-CN" w:bidi="ar"/>
        </w:rPr>
        <w:t>签署协议;采取政府回购方式的，可由县级以上人民政府或其授权的水行政主管部门、灌区管理单位等统一组织。</w:t>
      </w:r>
      <w:r>
        <w:rPr>
          <w:rFonts w:hint="eastAsia" w:ascii="仿宋_GB2312" w:hAnsi="仿宋_GB2312" w:eastAsia="仿宋_GB2312" w:cs="仿宋_GB2312"/>
          <w:color w:val="auto"/>
          <w:sz w:val="32"/>
          <w:szCs w:val="32"/>
          <w:highlight w:val="none"/>
        </w:rPr>
        <w:t>灌溉用水户可以通过</w:t>
      </w:r>
      <w:r>
        <w:rPr>
          <w:rFonts w:hint="eastAsia" w:ascii="仿宋_GB2312" w:hAnsi="仿宋_GB2312" w:eastAsia="仿宋_GB2312" w:cs="仿宋_GB2312"/>
          <w:color w:val="auto"/>
          <w:sz w:val="32"/>
          <w:szCs w:val="32"/>
          <w:highlight w:val="none"/>
          <w:lang w:eastAsia="zh-CN"/>
        </w:rPr>
        <w:t>公共资源交易平台</w:t>
      </w:r>
      <w:r>
        <w:rPr>
          <w:rFonts w:hint="eastAsia" w:ascii="仿宋_GB2312" w:hAnsi="仿宋_GB2312" w:eastAsia="仿宋_GB2312" w:cs="仿宋_GB2312"/>
          <w:color w:val="auto"/>
          <w:sz w:val="32"/>
          <w:szCs w:val="32"/>
          <w:highlight w:val="none"/>
        </w:rPr>
        <w:t>进行线上交易，也可通过村内公告栏、水管站、灌区管理单位等发布供求信息，自主开展交易。</w:t>
      </w:r>
    </w:p>
    <w:p>
      <w:pPr>
        <w:keepNext w:val="0"/>
        <w:keepLines w:val="0"/>
        <w:pageBreakBefore w:val="0"/>
        <w:numPr>
          <w:ilvl w:val="0"/>
          <w:numId w:val="0"/>
        </w:numPr>
        <w:kinsoku/>
        <w:overflowPunct/>
        <w:topLinePunct w:val="0"/>
        <w:autoSpaceDE/>
        <w:autoSpaceDN/>
        <w:bidi w:val="0"/>
        <w:adjustRightInd/>
        <w:spacing w:beforeAutospacing="0"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lang w:eastAsia="zh-CN"/>
        </w:rPr>
        <w:t>（十三）开展用水权交易试点。</w:t>
      </w:r>
      <w:r>
        <w:rPr>
          <w:rFonts w:hint="eastAsia" w:ascii="仿宋_GB2312" w:hAnsi="仿宋_GB2312" w:eastAsia="仿宋_GB2312" w:cs="仿宋_GB2312"/>
          <w:b w:val="0"/>
          <w:bCs w:val="0"/>
          <w:color w:val="auto"/>
          <w:sz w:val="32"/>
          <w:szCs w:val="32"/>
          <w:highlight w:val="none"/>
          <w:lang w:eastAsia="zh-CN" w:bidi="ar"/>
        </w:rPr>
        <w:t>各盟市</w:t>
      </w:r>
      <w:r>
        <w:rPr>
          <w:rFonts w:hint="eastAsia" w:ascii="仿宋_GB2312" w:hAnsi="仿宋_GB2312" w:eastAsia="仿宋_GB2312" w:cs="仿宋_GB2312"/>
          <w:b w:val="0"/>
          <w:bCs w:val="0"/>
          <w:color w:val="auto"/>
          <w:sz w:val="32"/>
          <w:szCs w:val="32"/>
          <w:highlight w:val="none"/>
          <w:lang w:bidi="ar"/>
        </w:rPr>
        <w:t>可</w:t>
      </w:r>
      <w:r>
        <w:rPr>
          <w:rFonts w:hint="eastAsia" w:ascii="仿宋_GB2312" w:hAnsi="仿宋_GB2312" w:eastAsia="仿宋_GB2312" w:cs="仿宋_GB2312"/>
          <w:color w:val="auto"/>
          <w:sz w:val="32"/>
          <w:szCs w:val="32"/>
          <w:highlight w:val="none"/>
          <w:lang w:bidi="ar"/>
        </w:rPr>
        <w:t>选取现状用水矛盾较为突出、交易条件相对较好且有交易意愿的区域、行业或用水户开展</w:t>
      </w:r>
      <w:r>
        <w:rPr>
          <w:rFonts w:hint="eastAsia" w:ascii="仿宋_GB2312" w:hAnsi="仿宋_GB2312" w:eastAsia="仿宋_GB2312" w:cs="仿宋_GB2312"/>
          <w:color w:val="auto"/>
          <w:sz w:val="32"/>
          <w:szCs w:val="32"/>
          <w:highlight w:val="none"/>
          <w:lang w:eastAsia="zh-CN" w:bidi="ar"/>
        </w:rPr>
        <w:t>用水权交易</w:t>
      </w:r>
      <w:r>
        <w:rPr>
          <w:rFonts w:hint="eastAsia" w:ascii="仿宋_GB2312" w:hAnsi="仿宋_GB2312" w:eastAsia="仿宋_GB2312" w:cs="仿宋_GB2312"/>
          <w:color w:val="auto"/>
          <w:sz w:val="32"/>
          <w:szCs w:val="32"/>
          <w:highlight w:val="none"/>
          <w:lang w:bidi="ar"/>
        </w:rPr>
        <w:t>试点，推进流域间、流域上下游、区域间、行业间、用水户间等多种类型的</w:t>
      </w:r>
      <w:r>
        <w:rPr>
          <w:rFonts w:hint="eastAsia" w:ascii="仿宋_GB2312" w:hAnsi="仿宋_GB2312" w:eastAsia="仿宋_GB2312" w:cs="仿宋_GB2312"/>
          <w:color w:val="auto"/>
          <w:sz w:val="32"/>
          <w:szCs w:val="32"/>
          <w:highlight w:val="none"/>
          <w:lang w:eastAsia="zh-CN" w:bidi="ar"/>
        </w:rPr>
        <w:t>用</w:t>
      </w:r>
      <w:r>
        <w:rPr>
          <w:rFonts w:hint="eastAsia" w:ascii="仿宋_GB2312" w:hAnsi="仿宋_GB2312" w:eastAsia="仿宋_GB2312" w:cs="仿宋_GB2312"/>
          <w:color w:val="auto"/>
          <w:sz w:val="32"/>
          <w:szCs w:val="32"/>
          <w:highlight w:val="none"/>
          <w:lang w:bidi="ar"/>
        </w:rPr>
        <w:t>水权交易，探索建立符合本地实际的</w:t>
      </w:r>
      <w:r>
        <w:rPr>
          <w:rFonts w:hint="eastAsia" w:ascii="仿宋_GB2312" w:hAnsi="仿宋_GB2312" w:eastAsia="仿宋_GB2312" w:cs="仿宋_GB2312"/>
          <w:color w:val="auto"/>
          <w:sz w:val="32"/>
          <w:szCs w:val="32"/>
          <w:highlight w:val="none"/>
          <w:lang w:eastAsia="zh-CN" w:bidi="ar"/>
        </w:rPr>
        <w:t>用</w:t>
      </w:r>
      <w:r>
        <w:rPr>
          <w:rFonts w:hint="eastAsia" w:ascii="仿宋_GB2312" w:hAnsi="仿宋_GB2312" w:eastAsia="仿宋_GB2312" w:cs="仿宋_GB2312"/>
          <w:color w:val="auto"/>
          <w:sz w:val="32"/>
          <w:szCs w:val="32"/>
          <w:highlight w:val="none"/>
          <w:lang w:bidi="ar"/>
        </w:rPr>
        <w:t>水权交易市场。</w:t>
      </w:r>
    </w:p>
    <w:p>
      <w:pPr>
        <w:keepNext w:val="0"/>
        <w:keepLines w:val="0"/>
        <w:pageBreakBefore w:val="0"/>
        <w:numPr>
          <w:ilvl w:val="0"/>
          <w:numId w:val="0"/>
        </w:numPr>
        <w:kinsoku/>
        <w:overflowPunct/>
        <w:topLinePunct w:val="0"/>
        <w:autoSpaceDE/>
        <w:autoSpaceDN/>
        <w:bidi w:val="0"/>
        <w:adjustRightInd/>
        <w:spacing w:beforeAutospacing="0" w:line="580" w:lineRule="exact"/>
        <w:ind w:firstLine="640" w:firstLineChars="200"/>
        <w:textAlignment w:val="auto"/>
        <w:rPr>
          <w:rFonts w:hint="eastAsia" w:ascii="仿宋_GB2312" w:hAnsi="仿宋_GB2312" w:eastAsia="仿宋_GB2312" w:cs="仿宋_GB2312"/>
          <w:color w:val="auto"/>
          <w:sz w:val="32"/>
          <w:szCs w:val="32"/>
          <w:highlight w:val="none"/>
          <w:lang w:bidi="ar"/>
        </w:rPr>
      </w:pPr>
      <w:r>
        <w:rPr>
          <w:rFonts w:hint="eastAsia" w:ascii="楷体_GB2312" w:hAnsi="楷体_GB2312" w:eastAsia="楷体_GB2312" w:cs="楷体_GB2312"/>
          <w:color w:val="auto"/>
          <w:sz w:val="32"/>
          <w:szCs w:val="32"/>
          <w:highlight w:val="none"/>
          <w:lang w:eastAsia="zh-CN"/>
        </w:rPr>
        <w:t>（十四）建立健全用水权交易价格形成和利益补偿机制。</w:t>
      </w:r>
      <w:r>
        <w:rPr>
          <w:rFonts w:hint="eastAsia" w:ascii="仿宋_GB2312" w:hAnsi="仿宋_GB2312" w:eastAsia="仿宋_GB2312" w:cs="仿宋_GB2312"/>
          <w:color w:val="auto"/>
          <w:sz w:val="32"/>
          <w:szCs w:val="32"/>
          <w:highlight w:val="none"/>
        </w:rPr>
        <w:t>建立与</w:t>
      </w:r>
      <w:r>
        <w:rPr>
          <w:rFonts w:hint="eastAsia" w:ascii="仿宋_GB2312" w:hAnsi="仿宋_GB2312" w:eastAsia="仿宋_GB2312" w:cs="仿宋_GB2312"/>
          <w:color w:val="auto"/>
          <w:sz w:val="32"/>
          <w:szCs w:val="32"/>
          <w:highlight w:val="none"/>
          <w:lang w:eastAsia="zh-CN"/>
        </w:rPr>
        <w:t>地区</w:t>
      </w:r>
      <w:r>
        <w:rPr>
          <w:rFonts w:hint="eastAsia" w:ascii="仿宋_GB2312" w:hAnsi="仿宋_GB2312" w:eastAsia="仿宋_GB2312" w:cs="仿宋_GB2312"/>
          <w:color w:val="auto"/>
          <w:sz w:val="32"/>
          <w:szCs w:val="32"/>
          <w:highlight w:val="none"/>
        </w:rPr>
        <w:t>经济社会发展水平相协调的</w:t>
      </w:r>
      <w:r>
        <w:rPr>
          <w:rFonts w:hint="eastAsia" w:ascii="仿宋_GB2312" w:hAnsi="仿宋_GB2312" w:eastAsia="仿宋_GB2312" w:cs="仿宋_GB2312"/>
          <w:color w:val="auto"/>
          <w:sz w:val="32"/>
          <w:szCs w:val="32"/>
          <w:highlight w:val="none"/>
          <w:lang w:eastAsia="zh-CN"/>
        </w:rPr>
        <w:t>用</w:t>
      </w:r>
      <w:r>
        <w:rPr>
          <w:rFonts w:hint="eastAsia" w:ascii="仿宋_GB2312" w:hAnsi="仿宋_GB2312" w:eastAsia="仿宋_GB2312" w:cs="仿宋_GB2312"/>
          <w:color w:val="auto"/>
          <w:sz w:val="32"/>
          <w:szCs w:val="32"/>
          <w:highlight w:val="none"/>
          <w:lang w:val="en-US" w:eastAsia="zh-CN"/>
        </w:rPr>
        <w:t>水权交易价格形成和利益补偿机制。</w:t>
      </w:r>
      <w:r>
        <w:rPr>
          <w:rFonts w:hint="eastAsia" w:ascii="仿宋_GB2312" w:hAnsi="仿宋_GB2312" w:eastAsia="仿宋_GB2312" w:cs="仿宋_GB2312"/>
          <w:color w:val="auto"/>
          <w:kern w:val="2"/>
          <w:sz w:val="32"/>
          <w:szCs w:val="32"/>
          <w:highlight w:val="none"/>
          <w:lang w:val="en-US" w:eastAsia="zh-CN" w:bidi="ar"/>
        </w:rPr>
        <w:t>各盟市、旗县区应当结合实际，通过第三方评估等方式分类型制定区域水权交易起始价格，并报送上级水行政主管部门、财政部门备案。最终成交价格不得低于转让地起始交易价格，最终成交价格确需低于起始交易价格成交的，需报请上级水行政主管部门、财政部门审定。</w:t>
      </w:r>
    </w:p>
    <w:p>
      <w:pPr>
        <w:keepNext w:val="0"/>
        <w:keepLines w:val="0"/>
        <w:pageBreakBefore w:val="0"/>
        <w:numPr>
          <w:ilvl w:val="0"/>
          <w:numId w:val="0"/>
        </w:numPr>
        <w:kinsoku/>
        <w:overflowPunct/>
        <w:topLinePunct w:val="0"/>
        <w:autoSpaceDE/>
        <w:autoSpaceDN/>
        <w:bidi w:val="0"/>
        <w:adjustRightInd/>
        <w:spacing w:beforeAutospacing="0" w:line="580"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bidi="ar"/>
        </w:rPr>
        <w:t>用水户</w:t>
      </w:r>
      <w:r>
        <w:rPr>
          <w:rFonts w:hint="eastAsia" w:ascii="仿宋_GB2312" w:hAnsi="仿宋_GB2312" w:eastAsia="仿宋_GB2312" w:cs="仿宋_GB2312"/>
          <w:color w:val="auto"/>
          <w:sz w:val="32"/>
          <w:szCs w:val="32"/>
          <w:highlight w:val="none"/>
          <w:lang w:eastAsia="zh-CN" w:bidi="ar"/>
        </w:rPr>
        <w:t>用</w:t>
      </w:r>
      <w:r>
        <w:rPr>
          <w:rFonts w:hint="eastAsia" w:ascii="仿宋_GB2312" w:hAnsi="仿宋_GB2312" w:eastAsia="仿宋_GB2312" w:cs="仿宋_GB2312"/>
          <w:color w:val="auto"/>
          <w:sz w:val="32"/>
          <w:szCs w:val="32"/>
          <w:highlight w:val="none"/>
          <w:lang w:bidi="ar"/>
        </w:rPr>
        <w:t>水权交易</w:t>
      </w:r>
      <w:r>
        <w:rPr>
          <w:rFonts w:hint="eastAsia" w:ascii="仿宋_GB2312" w:hAnsi="仿宋_GB2312" w:eastAsia="仿宋_GB2312" w:cs="仿宋_GB2312"/>
          <w:color w:val="auto"/>
          <w:sz w:val="32"/>
          <w:szCs w:val="32"/>
          <w:highlight w:val="none"/>
          <w:lang w:val="en-US" w:eastAsia="zh-CN"/>
        </w:rPr>
        <w:t>基准价格应根据水资源稀缺程度、节约水资源成本费用、市场供求关系、生态保护补偿、经济利益补偿及合理收益等因素综合确定。</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eastAsia="zh-CN" w:bidi="ar"/>
        </w:rPr>
        <w:t>其中</w:t>
      </w:r>
      <w:r>
        <w:rPr>
          <w:rFonts w:hint="eastAsia" w:ascii="仿宋_GB2312" w:hAnsi="仿宋_GB2312" w:eastAsia="仿宋_GB2312" w:cs="仿宋_GB2312"/>
          <w:color w:val="auto"/>
          <w:sz w:val="32"/>
          <w:szCs w:val="32"/>
          <w:highlight w:val="none"/>
          <w:lang w:bidi="ar"/>
        </w:rPr>
        <w:t>灌区通过实施节水改造工程转让用水权的，交易价格应当包括节水工程建设费用、节水工程和量水设施的运行维护费用、节水工程的更新改造费用、因不同用水保证率致使农业损失的补偿费用、必要的经济利益和生态补偿费用等。</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color w:val="auto"/>
          <w:sz w:val="32"/>
          <w:szCs w:val="32"/>
          <w:highlight w:val="none"/>
          <w:lang w:eastAsia="zh-CN" w:bidi="ar"/>
        </w:rPr>
      </w:pPr>
      <w:r>
        <w:rPr>
          <w:rFonts w:hint="eastAsia" w:ascii="楷体_GB2312" w:hAnsi="楷体_GB2312" w:eastAsia="楷体_GB2312" w:cs="楷体_GB2312"/>
          <w:color w:val="auto"/>
          <w:sz w:val="32"/>
          <w:szCs w:val="32"/>
          <w:highlight w:val="none"/>
          <w:lang w:eastAsia="zh-CN"/>
        </w:rPr>
        <w:t>（十五）积极探索建立闲置用水权盘活机制。</w:t>
      </w:r>
      <w:r>
        <w:rPr>
          <w:rFonts w:hint="eastAsia" w:ascii="仿宋_GB2312" w:hAnsi="仿宋_GB2312" w:eastAsia="仿宋_GB2312" w:cs="仿宋_GB2312"/>
          <w:color w:val="auto"/>
          <w:sz w:val="32"/>
          <w:szCs w:val="32"/>
          <w:highlight w:val="none"/>
          <w:lang w:eastAsia="zh-CN" w:bidi="ar"/>
        </w:rPr>
        <w:t>盟市及旗县水行政主管部门要结合本区域水资源“供需矛盾”，积极探索推动闲置用水权的优化配置和交易，实现水资源利用效率和效益最大化。一般情况下，下列情形可纳入闲置用水权优化配置和交易范围。</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 w:eastAsia="仿宋_GB2312" w:cs="仿宋"/>
          <w:color w:val="auto"/>
          <w:sz w:val="32"/>
          <w:szCs w:val="32"/>
          <w:lang w:val="en-US" w:eastAsia="zh-CN"/>
        </w:rPr>
        <w:t>1.</w:t>
      </w:r>
      <w:r>
        <w:rPr>
          <w:rFonts w:hint="eastAsia" w:ascii="仿宋_GB2312" w:hAnsi="仿宋_GB2312" w:eastAsia="仿宋_GB2312" w:cs="仿宋_GB2312"/>
          <w:color w:val="auto"/>
          <w:sz w:val="32"/>
          <w:szCs w:val="32"/>
        </w:rPr>
        <w:t>政府投资实施的节水改造工程节约的水量；</w:t>
      </w:r>
    </w:p>
    <w:p>
      <w:pPr>
        <w:pStyle w:val="2"/>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eastAsia="仿宋_GB2312"/>
          <w:color w:val="auto"/>
          <w:sz w:val="32"/>
          <w:szCs w:val="32"/>
        </w:rPr>
      </w:pPr>
      <w:r>
        <w:rPr>
          <w:rFonts w:hint="eastAsia" w:ascii="仿宋_GB2312" w:hAnsi="仿宋" w:eastAsia="仿宋_GB2312" w:cs="仿宋"/>
          <w:color w:val="auto"/>
          <w:sz w:val="32"/>
          <w:szCs w:val="32"/>
          <w:lang w:val="en-US" w:eastAsia="zh-CN"/>
        </w:rPr>
        <w:t>2.</w:t>
      </w:r>
      <w:r>
        <w:rPr>
          <w:rFonts w:hint="eastAsia" w:ascii="仿宋_GB2312" w:hAnsi="仿宋_GB2312" w:eastAsia="仿宋_GB2312" w:cs="仿宋_GB2312"/>
          <w:color w:val="auto"/>
          <w:sz w:val="32"/>
          <w:szCs w:val="32"/>
        </w:rPr>
        <w:t>建设项目取水许可批复超过24个月，仍未取得施工许可证的，或者主体工程未开工建设的</w:t>
      </w:r>
      <w:r>
        <w:rPr>
          <w:rFonts w:hint="eastAsia" w:ascii="仿宋_GB2312" w:hAnsi="仿宋_GB2312" w:eastAsia="仿宋_GB2312" w:cs="仿宋_GB2312"/>
          <w:color w:val="auto"/>
          <w:sz w:val="32"/>
          <w:szCs w:val="32"/>
          <w:lang w:eastAsia="zh-CN"/>
        </w:rPr>
        <w:t>用水户的用水权</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 w:eastAsia="仿宋_GB2312" w:cs="仿宋"/>
          <w:color w:val="auto"/>
          <w:sz w:val="32"/>
          <w:szCs w:val="32"/>
          <w:lang w:val="en-US" w:eastAsia="zh-CN"/>
        </w:rPr>
        <w:t>3.</w:t>
      </w:r>
      <w:r>
        <w:rPr>
          <w:rFonts w:hint="eastAsia" w:ascii="仿宋_GB2312" w:hAnsi="仿宋_GB2312" w:eastAsia="仿宋_GB2312" w:cs="仿宋_GB2312"/>
          <w:color w:val="auto"/>
          <w:sz w:val="32"/>
          <w:szCs w:val="32"/>
        </w:rPr>
        <w:t>未实施节水改造的建设项目，近2年按折算设计产能的用水量明显小于取水许可证或者用水权</w:t>
      </w:r>
      <w:r>
        <w:rPr>
          <w:rFonts w:hint="eastAsia" w:ascii="仿宋_GB2312" w:hAnsi="仿宋_GB2312" w:eastAsia="仿宋_GB2312" w:cs="仿宋_GB2312"/>
          <w:color w:val="auto"/>
          <w:sz w:val="32"/>
          <w:szCs w:val="32"/>
          <w:lang w:eastAsia="zh-CN"/>
        </w:rPr>
        <w:t>确认</w:t>
      </w:r>
      <w:r>
        <w:rPr>
          <w:rFonts w:hint="eastAsia" w:ascii="仿宋_GB2312" w:hAnsi="仿宋_GB2312" w:eastAsia="仿宋_GB2312" w:cs="仿宋_GB2312"/>
          <w:color w:val="auto"/>
          <w:sz w:val="32"/>
          <w:szCs w:val="32"/>
        </w:rPr>
        <w:t>凭证载明水量</w:t>
      </w:r>
      <w:r>
        <w:rPr>
          <w:rFonts w:hint="eastAsia" w:ascii="仿宋_GB2312" w:hAnsi="仿宋_GB2312" w:eastAsia="仿宋_GB2312" w:cs="仿宋_GB2312"/>
          <w:color w:val="auto"/>
          <w:sz w:val="32"/>
          <w:szCs w:val="32"/>
          <w:lang w:eastAsia="zh-CN"/>
        </w:rPr>
        <w:t>，其</w:t>
      </w:r>
      <w:r>
        <w:rPr>
          <w:rFonts w:hint="eastAsia" w:ascii="仿宋_GB2312" w:hAnsi="仿宋_GB2312" w:eastAsia="仿宋_GB2312" w:cs="仿宋_GB2312"/>
          <w:color w:val="auto"/>
          <w:sz w:val="32"/>
          <w:szCs w:val="32"/>
        </w:rPr>
        <w:t>差额水量</w:t>
      </w:r>
      <w:r>
        <w:rPr>
          <w:rFonts w:hint="eastAsia" w:ascii="仿宋_GB2312" w:hAnsi="仿宋_GB2312" w:eastAsia="仿宋_GB2312" w:cs="仿宋_GB2312"/>
          <w:color w:val="auto"/>
          <w:sz w:val="32"/>
          <w:szCs w:val="32"/>
          <w:lang w:eastAsia="zh-CN"/>
        </w:rPr>
        <w:t>的用水权</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color w:val="auto"/>
          <w:sz w:val="32"/>
          <w:szCs w:val="32"/>
        </w:rPr>
      </w:pPr>
      <w:bookmarkStart w:id="0" w:name="_Hlk133298342"/>
      <w:r>
        <w:rPr>
          <w:rFonts w:hint="eastAsia" w:ascii="仿宋_GB2312" w:hAnsi="仿宋" w:eastAsia="仿宋_GB2312" w:cs="仿宋"/>
          <w:color w:val="auto"/>
          <w:sz w:val="32"/>
          <w:szCs w:val="32"/>
          <w:lang w:val="en-US" w:eastAsia="zh-CN"/>
        </w:rPr>
        <w:t>4.</w:t>
      </w:r>
      <w:r>
        <w:rPr>
          <w:rFonts w:hint="eastAsia" w:ascii="仿宋_GB2312" w:hAnsi="仿宋_GB2312" w:eastAsia="仿宋_GB2312" w:cs="仿宋_GB2312"/>
          <w:color w:val="auto"/>
          <w:sz w:val="32"/>
          <w:szCs w:val="32"/>
        </w:rPr>
        <w:t>签订用水权交易（或者水权转让）协议后，受让方未遵循协议约定足额缴纳水权交易资金和有关税费的</w:t>
      </w:r>
      <w:r>
        <w:rPr>
          <w:rFonts w:hint="eastAsia" w:ascii="仿宋_GB2312" w:hAnsi="仿宋_GB2312" w:eastAsia="仿宋_GB2312" w:cs="仿宋_GB2312"/>
          <w:color w:val="auto"/>
          <w:sz w:val="32"/>
          <w:szCs w:val="32"/>
          <w:lang w:eastAsia="zh-CN"/>
        </w:rPr>
        <w:t>用水户的用水权</w:t>
      </w:r>
      <w:r>
        <w:rPr>
          <w:rFonts w:hint="eastAsia" w:ascii="仿宋_GB2312" w:hAnsi="仿宋_GB2312" w:eastAsia="仿宋_GB2312" w:cs="仿宋_GB2312"/>
          <w:color w:val="auto"/>
          <w:sz w:val="32"/>
          <w:szCs w:val="32"/>
        </w:rPr>
        <w:t>；</w:t>
      </w:r>
      <w:bookmarkEnd w:id="0"/>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color w:val="auto"/>
          <w:sz w:val="32"/>
          <w:szCs w:val="32"/>
        </w:rPr>
      </w:pPr>
      <w:bookmarkStart w:id="1" w:name="_Hlk134196988"/>
      <w:r>
        <w:rPr>
          <w:rFonts w:hint="eastAsia" w:ascii="仿宋_GB2312" w:hAnsi="仿宋" w:eastAsia="仿宋_GB2312" w:cs="仿宋"/>
          <w:color w:val="auto"/>
          <w:sz w:val="32"/>
          <w:szCs w:val="32"/>
          <w:lang w:val="en-US" w:eastAsia="zh-CN"/>
        </w:rPr>
        <w:t>5.</w:t>
      </w:r>
      <w:r>
        <w:rPr>
          <w:rFonts w:hint="eastAsia" w:ascii="仿宋_GB2312" w:hAnsi="仿宋_GB2312" w:eastAsia="仿宋_GB2312" w:cs="仿宋_GB2312"/>
          <w:color w:val="auto"/>
          <w:sz w:val="32"/>
          <w:szCs w:val="32"/>
        </w:rPr>
        <w:t>项目已投产，并申请办理取水许可手续，因破产、关停、被取缔以及迁出的用水户所持有的用水权；</w:t>
      </w:r>
      <w:bookmarkEnd w:id="1"/>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 w:eastAsia="仿宋_GB2312" w:cs="仿宋"/>
          <w:color w:val="auto"/>
          <w:sz w:val="32"/>
          <w:szCs w:val="32"/>
          <w:lang w:val="en-US" w:eastAsia="zh-CN"/>
        </w:rPr>
        <w:t>6.</w:t>
      </w:r>
      <w:r>
        <w:rPr>
          <w:rFonts w:hint="eastAsia" w:ascii="仿宋_GB2312" w:hAnsi="仿宋_GB2312" w:eastAsia="仿宋_GB2312" w:cs="仿宋_GB2312"/>
          <w:color w:val="auto"/>
          <w:sz w:val="32"/>
          <w:szCs w:val="32"/>
        </w:rPr>
        <w:t>因城镇扩建等公共设施建设以及交通、水利等基础设施建设征用土地而形成的闲置用水权；</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 w:eastAsia="仿宋_GB2312" w:cs="仿宋"/>
          <w:color w:val="auto"/>
          <w:sz w:val="32"/>
          <w:szCs w:val="32"/>
          <w:lang w:val="en-US" w:eastAsia="zh-CN"/>
        </w:rPr>
        <w:t>7.</w:t>
      </w:r>
      <w:r>
        <w:rPr>
          <w:rFonts w:hint="eastAsia" w:ascii="仿宋_GB2312" w:hAnsi="仿宋_GB2312" w:eastAsia="仿宋_GB2312" w:cs="仿宋_GB2312"/>
          <w:color w:val="auto"/>
          <w:sz w:val="32"/>
          <w:szCs w:val="32"/>
        </w:rPr>
        <w:t>用水户或者第三方投资建设节水工程节约的水量</w:t>
      </w:r>
      <w:r>
        <w:rPr>
          <w:rFonts w:hint="eastAsia" w:ascii="仿宋_GB2312" w:hAnsi="仿宋_GB2312" w:eastAsia="仿宋_GB2312" w:cs="仿宋_GB2312"/>
          <w:color w:val="auto"/>
          <w:sz w:val="32"/>
          <w:szCs w:val="32"/>
          <w:lang w:eastAsia="zh-CN"/>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580" w:lineRule="exact"/>
        <w:ind w:right="0" w:rightChars="0"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五、强化监测计量和监管</w:t>
      </w:r>
    </w:p>
    <w:p>
      <w:pPr>
        <w:keepNext w:val="0"/>
        <w:keepLines w:val="0"/>
        <w:pageBreakBefore w:val="0"/>
        <w:kinsoku/>
        <w:overflowPunct/>
        <w:topLinePunct w:val="0"/>
        <w:autoSpaceDE/>
        <w:autoSpaceDN/>
        <w:bidi w:val="0"/>
        <w:adjustRightInd/>
        <w:spacing w:beforeAutospacing="0" w:line="580" w:lineRule="exact"/>
        <w:ind w:firstLine="640"/>
        <w:textAlignment w:val="auto"/>
        <w:rPr>
          <w:rFonts w:hint="eastAsia"/>
          <w:color w:val="auto"/>
          <w:highlight w:val="none"/>
        </w:rPr>
      </w:pPr>
      <w:r>
        <w:rPr>
          <w:rFonts w:hint="eastAsia" w:ascii="楷体_GB2312" w:hAnsi="楷体_GB2312" w:eastAsia="楷体_GB2312" w:cs="楷体_GB2312"/>
          <w:color w:val="auto"/>
          <w:sz w:val="32"/>
          <w:szCs w:val="32"/>
          <w:highlight w:val="none"/>
          <w:lang w:eastAsia="zh-CN"/>
        </w:rPr>
        <w:t>（十六）强化取用水监测计量。</w:t>
      </w:r>
      <w:r>
        <w:rPr>
          <w:rFonts w:hint="eastAsia" w:ascii="仿宋_GB2312" w:hAnsi="仿宋_GB2312" w:eastAsia="仿宋_GB2312" w:cs="仿宋_GB2312"/>
          <w:color w:val="auto"/>
          <w:sz w:val="32"/>
          <w:szCs w:val="32"/>
          <w:highlight w:val="none"/>
        </w:rPr>
        <w:t>加快推进取用水监测计量体系建设，在</w:t>
      </w:r>
      <w:r>
        <w:rPr>
          <w:rFonts w:hint="eastAsia" w:ascii="仿宋_GB2312" w:hAnsi="仿宋_GB2312" w:eastAsia="仿宋_GB2312" w:cs="仿宋_GB2312"/>
          <w:color w:val="auto"/>
          <w:sz w:val="32"/>
          <w:szCs w:val="32"/>
          <w:highlight w:val="none"/>
          <w:lang w:eastAsia="zh-CN"/>
        </w:rPr>
        <w:t>盟市和旗县</w:t>
      </w:r>
      <w:r>
        <w:rPr>
          <w:rFonts w:hint="eastAsia" w:ascii="仿宋_GB2312" w:hAnsi="仿宋_GB2312" w:eastAsia="仿宋_GB2312" w:cs="仿宋_GB2312"/>
          <w:color w:val="auto"/>
          <w:sz w:val="32"/>
          <w:szCs w:val="32"/>
          <w:highlight w:val="none"/>
        </w:rPr>
        <w:t>界</w:t>
      </w:r>
      <w:r>
        <w:rPr>
          <w:rFonts w:hint="eastAsia" w:ascii="仿宋_GB2312" w:hAnsi="仿宋_GB2312" w:eastAsia="仿宋_GB2312" w:cs="仿宋_GB2312"/>
          <w:color w:val="auto"/>
          <w:sz w:val="32"/>
          <w:szCs w:val="32"/>
          <w:highlight w:val="none"/>
          <w:lang w:eastAsia="zh-CN"/>
        </w:rPr>
        <w:t>河道</w:t>
      </w:r>
      <w:r>
        <w:rPr>
          <w:rFonts w:hint="eastAsia" w:ascii="仿宋_GB2312" w:hAnsi="仿宋_GB2312" w:eastAsia="仿宋_GB2312" w:cs="仿宋_GB2312"/>
          <w:color w:val="auto"/>
          <w:sz w:val="32"/>
          <w:szCs w:val="32"/>
          <w:highlight w:val="none"/>
        </w:rPr>
        <w:t>断面、重要取水口以及水量分配、生态流量</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rPr>
        <w:t>重要断面配备相应的监测计量设施。地表水年许可水量50万</w:t>
      </w:r>
      <w:r>
        <w:rPr>
          <w:rFonts w:hint="eastAsia" w:ascii="仿宋_GB2312" w:hAnsi="仿宋_GB2312" w:eastAsia="仿宋_GB2312" w:cs="仿宋_GB2312"/>
          <w:color w:val="auto"/>
          <w:sz w:val="32"/>
          <w:szCs w:val="32"/>
          <w:highlight w:val="none"/>
          <w:lang w:eastAsia="zh-CN"/>
        </w:rPr>
        <w:t>立方米</w:t>
      </w:r>
      <w:r>
        <w:rPr>
          <w:rFonts w:hint="eastAsia" w:ascii="仿宋_GB2312" w:hAnsi="仿宋_GB2312" w:eastAsia="仿宋_GB2312" w:cs="仿宋_GB2312"/>
          <w:color w:val="auto"/>
          <w:sz w:val="32"/>
          <w:szCs w:val="32"/>
          <w:highlight w:val="none"/>
        </w:rPr>
        <w:t>以上、地下水年许可水量5万</w:t>
      </w:r>
      <w:r>
        <w:rPr>
          <w:rFonts w:hint="eastAsia" w:ascii="仿宋_GB2312" w:hAnsi="仿宋_GB2312" w:eastAsia="仿宋_GB2312" w:cs="仿宋_GB2312"/>
          <w:color w:val="auto"/>
          <w:sz w:val="32"/>
          <w:szCs w:val="32"/>
          <w:highlight w:val="none"/>
          <w:lang w:eastAsia="zh-CN"/>
        </w:rPr>
        <w:t>立方米</w:t>
      </w:r>
      <w:r>
        <w:rPr>
          <w:rFonts w:hint="eastAsia" w:ascii="仿宋_GB2312" w:hAnsi="仿宋_GB2312" w:eastAsia="仿宋_GB2312" w:cs="仿宋_GB2312"/>
          <w:color w:val="auto"/>
          <w:sz w:val="32"/>
          <w:szCs w:val="32"/>
          <w:highlight w:val="none"/>
        </w:rPr>
        <w:t>以上的取用水户，万亩以上大中型灌区渠首取水口以及调水工程应安装在线监测计量设施。开展灌溉用水户水权交易，应有相应的灌溉计量条件作为基础，满足用水权交易的监测计量需求</w:t>
      </w:r>
      <w:r>
        <w:rPr>
          <w:rFonts w:hint="eastAsia" w:ascii="仿宋_GB2312" w:hAnsi="仿宋_GB2312" w:eastAsia="仿宋_GB2312" w:cs="仿宋_GB2312"/>
          <w:color w:val="auto"/>
          <w:sz w:val="32"/>
          <w:szCs w:val="32"/>
          <w:highlight w:val="none"/>
          <w:lang w:eastAsia="zh-CN"/>
        </w:rPr>
        <w:t>。各地可结合实际进一步提高监测计量要求，</w:t>
      </w:r>
      <w:r>
        <w:rPr>
          <w:rFonts w:hint="eastAsia" w:ascii="仿宋_GB2312" w:hAnsi="仿宋_GB2312" w:eastAsia="仿宋_GB2312" w:cs="仿宋_GB2312"/>
          <w:color w:val="auto"/>
          <w:sz w:val="32"/>
          <w:szCs w:val="32"/>
          <w:highlight w:val="none"/>
        </w:rPr>
        <w:t>为推进用水权初始分配和交易提供基础支撑。</w:t>
      </w:r>
    </w:p>
    <w:p>
      <w:pPr>
        <w:keepNext w:val="0"/>
        <w:keepLines w:val="0"/>
        <w:pageBreakBefore w:val="0"/>
        <w:kinsoku/>
        <w:overflowPunct/>
        <w:topLinePunct w:val="0"/>
        <w:autoSpaceDE/>
        <w:autoSpaceDN/>
        <w:bidi w:val="0"/>
        <w:adjustRightInd/>
        <w:spacing w:beforeAutospacing="0" w:line="580" w:lineRule="exact"/>
        <w:ind w:firstLine="640"/>
        <w:textAlignment w:val="auto"/>
        <w:rPr>
          <w:rFonts w:hint="eastAsia" w:eastAsia="仿宋_GB2312" w:cs="Times New Roman"/>
          <w:color w:val="auto"/>
          <w:highlight w:val="none"/>
          <w:lang w:eastAsia="zh-CN"/>
        </w:rPr>
      </w:pPr>
      <w:r>
        <w:rPr>
          <w:rFonts w:hint="eastAsia" w:ascii="楷体_GB2312" w:hAnsi="楷体_GB2312" w:eastAsia="楷体_GB2312" w:cs="楷体_GB2312"/>
          <w:color w:val="auto"/>
          <w:sz w:val="32"/>
          <w:szCs w:val="32"/>
          <w:highlight w:val="none"/>
          <w:lang w:eastAsia="zh-CN"/>
        </w:rPr>
        <w:t>（十七）强化用水权交易监管。</w:t>
      </w:r>
      <w:r>
        <w:rPr>
          <w:rFonts w:hint="eastAsia" w:ascii="仿宋_GB2312" w:hAnsi="仿宋_GB2312" w:eastAsia="仿宋_GB2312" w:cs="仿宋_GB2312"/>
          <w:color w:val="auto"/>
          <w:sz w:val="32"/>
          <w:szCs w:val="32"/>
          <w:highlight w:val="none"/>
          <w:lang w:bidi="ar"/>
        </w:rPr>
        <w:t>旗县级以上地方人民政府水行政主管部门应当加强对</w:t>
      </w:r>
      <w:r>
        <w:rPr>
          <w:rFonts w:hint="eastAsia" w:ascii="仿宋_GB2312" w:hAnsi="仿宋_GB2312" w:eastAsia="仿宋_GB2312" w:cs="仿宋_GB2312"/>
          <w:color w:val="auto"/>
          <w:sz w:val="32"/>
          <w:szCs w:val="32"/>
          <w:highlight w:val="none"/>
          <w:lang w:eastAsia="zh-CN" w:bidi="ar"/>
        </w:rPr>
        <w:t>初始水权分配和明晰</w:t>
      </w:r>
      <w:r>
        <w:rPr>
          <w:rFonts w:hint="eastAsia" w:ascii="仿宋_GB2312" w:hAnsi="仿宋_GB2312" w:eastAsia="仿宋_GB2312" w:cs="仿宋_GB2312"/>
          <w:color w:val="auto"/>
          <w:sz w:val="32"/>
          <w:szCs w:val="32"/>
          <w:highlight w:val="none"/>
          <w:lang w:bidi="ar"/>
        </w:rPr>
        <w:t>、交易</w:t>
      </w:r>
      <w:r>
        <w:rPr>
          <w:rFonts w:hint="eastAsia" w:ascii="仿宋_GB2312" w:hAnsi="仿宋_GB2312" w:eastAsia="仿宋_GB2312" w:cs="仿宋_GB2312"/>
          <w:color w:val="auto"/>
          <w:sz w:val="32"/>
          <w:szCs w:val="32"/>
          <w:highlight w:val="none"/>
          <w:lang w:eastAsia="zh-CN" w:bidi="ar"/>
        </w:rPr>
        <w:t>的</w:t>
      </w:r>
      <w:r>
        <w:rPr>
          <w:rFonts w:hint="eastAsia" w:ascii="仿宋_GB2312" w:hAnsi="仿宋_GB2312" w:eastAsia="仿宋_GB2312" w:cs="仿宋_GB2312"/>
          <w:color w:val="auto"/>
          <w:sz w:val="32"/>
          <w:szCs w:val="32"/>
          <w:highlight w:val="none"/>
          <w:lang w:bidi="ar"/>
        </w:rPr>
        <w:t>全过程监管</w:t>
      </w:r>
      <w:r>
        <w:rPr>
          <w:rFonts w:hint="eastAsia" w:ascii="仿宋_GB2312" w:hAnsi="仿宋_GB2312" w:eastAsia="仿宋_GB2312" w:cs="仿宋_GB2312"/>
          <w:color w:val="auto"/>
          <w:sz w:val="32"/>
          <w:szCs w:val="32"/>
          <w:highlight w:val="none"/>
          <w:lang w:eastAsia="zh-CN" w:bidi="ar"/>
        </w:rPr>
        <w:t>，防止用水权交易挤占基本生态用水和农田灌溉合理用水</w:t>
      </w:r>
      <w:r>
        <w:rPr>
          <w:rFonts w:hint="eastAsia" w:ascii="仿宋_GB2312" w:hAnsi="仿宋_GB2312" w:eastAsia="仿宋_GB2312" w:cs="仿宋_GB2312"/>
          <w:color w:val="auto"/>
          <w:sz w:val="32"/>
          <w:szCs w:val="32"/>
          <w:highlight w:val="none"/>
          <w:lang w:bidi="ar"/>
        </w:rPr>
        <w:t>。</w:t>
      </w:r>
      <w:r>
        <w:rPr>
          <w:rFonts w:hint="eastAsia" w:ascii="仿宋_GB2312" w:hAnsi="仿宋_GB2312" w:eastAsia="仿宋_GB2312" w:cs="仿宋_GB2312"/>
          <w:color w:val="auto"/>
          <w:sz w:val="32"/>
          <w:szCs w:val="32"/>
          <w:highlight w:val="none"/>
        </w:rPr>
        <w:t>重点跟踪检查用水权交易水量的真实性、交易程序的规范性、交易价格的合理性、交易资金的安全性</w:t>
      </w:r>
      <w:r>
        <w:rPr>
          <w:rFonts w:hint="eastAsia" w:ascii="仿宋_GB2312" w:hAnsi="仿宋_GB2312" w:eastAsia="仿宋_GB2312" w:cs="仿宋_GB2312"/>
          <w:color w:val="auto"/>
          <w:sz w:val="32"/>
          <w:szCs w:val="32"/>
          <w:highlight w:val="none"/>
          <w:lang w:eastAsia="zh-CN"/>
        </w:rPr>
        <w:t>、交易水权用途</w:t>
      </w:r>
      <w:r>
        <w:rPr>
          <w:rFonts w:hint="eastAsia" w:ascii="仿宋_GB2312" w:hAnsi="仿宋_GB2312" w:eastAsia="仿宋_GB2312" w:cs="仿宋_GB2312"/>
          <w:color w:val="auto"/>
          <w:sz w:val="32"/>
          <w:szCs w:val="32"/>
          <w:highlight w:val="none"/>
        </w:rPr>
        <w:t>等，及时组织开展交易水量核定、用水权交易评估工作。对监管中发现的未经批准擅自</w:t>
      </w:r>
      <w:r>
        <w:rPr>
          <w:rFonts w:hint="eastAsia" w:ascii="仿宋_GB2312" w:hAnsi="仿宋_GB2312" w:eastAsia="仿宋_GB2312" w:cs="仿宋_GB2312"/>
          <w:color w:val="auto"/>
          <w:sz w:val="32"/>
          <w:szCs w:val="32"/>
          <w:highlight w:val="none"/>
          <w:lang w:eastAsia="zh-CN"/>
        </w:rPr>
        <w:t>交易用</w:t>
      </w:r>
      <w:r>
        <w:rPr>
          <w:rFonts w:hint="eastAsia" w:ascii="仿宋_GB2312" w:hAnsi="仿宋_GB2312" w:eastAsia="仿宋_GB2312" w:cs="仿宋_GB2312"/>
          <w:color w:val="auto"/>
          <w:sz w:val="32"/>
          <w:szCs w:val="32"/>
          <w:highlight w:val="none"/>
        </w:rPr>
        <w:t>水权、用水权交易弄虚作假、</w:t>
      </w:r>
      <w:r>
        <w:rPr>
          <w:rFonts w:hint="eastAsia" w:ascii="仿宋_GB2312" w:hAnsi="仿宋_GB2312" w:eastAsia="仿宋_GB2312" w:cs="仿宋_GB2312"/>
          <w:color w:val="auto"/>
          <w:sz w:val="32"/>
          <w:szCs w:val="32"/>
          <w:highlight w:val="none"/>
          <w:lang w:eastAsia="zh-CN"/>
        </w:rPr>
        <w:t>用</w:t>
      </w:r>
      <w:r>
        <w:rPr>
          <w:rFonts w:hint="eastAsia" w:ascii="仿宋_GB2312" w:hAnsi="仿宋_GB2312" w:eastAsia="仿宋_GB2312" w:cs="仿宋_GB2312"/>
          <w:color w:val="auto"/>
          <w:sz w:val="32"/>
          <w:szCs w:val="32"/>
          <w:highlight w:val="none"/>
        </w:rPr>
        <w:t>水权交易程序不规范等问题，要依法依规处理</w:t>
      </w:r>
      <w:r>
        <w:rPr>
          <w:rFonts w:hint="eastAsia" w:ascii="仿宋_GB2312" w:hAnsi="仿宋_GB2312" w:eastAsia="仿宋_GB2312" w:cs="仿宋_GB2312"/>
          <w:color w:val="auto"/>
          <w:sz w:val="32"/>
          <w:szCs w:val="32"/>
          <w:highlight w:val="none"/>
          <w:lang w:eastAsia="zh-CN"/>
        </w:rPr>
        <w:t>并纳入</w:t>
      </w:r>
      <w:r>
        <w:rPr>
          <w:rFonts w:hint="eastAsia" w:ascii="仿宋_GB2312" w:hAnsi="仿宋_GB2312" w:eastAsia="仿宋_GB2312" w:cs="仿宋_GB2312"/>
          <w:color w:val="auto"/>
          <w:sz w:val="32"/>
          <w:szCs w:val="32"/>
          <w:highlight w:val="none"/>
        </w:rPr>
        <w:t>自治区取用水信用评价</w:t>
      </w:r>
      <w:r>
        <w:rPr>
          <w:rFonts w:hint="eastAsia" w:ascii="仿宋_GB2312" w:hAnsi="仿宋_GB2312" w:eastAsia="仿宋_GB2312" w:cs="仿宋_GB2312"/>
          <w:color w:val="auto"/>
          <w:sz w:val="32"/>
          <w:szCs w:val="32"/>
          <w:highlight w:val="none"/>
          <w:lang w:eastAsia="zh-CN"/>
        </w:rPr>
        <w:t>管理</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各级公共资源交易平台</w:t>
      </w:r>
      <w:r>
        <w:rPr>
          <w:rFonts w:hint="eastAsia" w:ascii="仿宋_GB2312" w:hAnsi="仿宋_GB2312" w:eastAsia="仿宋_GB2312" w:cs="仿宋_GB2312"/>
          <w:color w:val="auto"/>
          <w:sz w:val="32"/>
          <w:szCs w:val="32"/>
          <w:highlight w:val="none"/>
        </w:rPr>
        <w:t>要按照国家要求，规范交易行为，建立信息披露制度，主动接受社会监督，定期向有关水行政主管部门、金融监管等部门报告交易情况。</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580" w:lineRule="exact"/>
        <w:ind w:right="0" w:rightChars="0"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六、组织保障</w:t>
      </w:r>
    </w:p>
    <w:p>
      <w:pPr>
        <w:keepNext w:val="0"/>
        <w:keepLines w:val="0"/>
        <w:pageBreakBefore w:val="0"/>
        <w:kinsoku/>
        <w:overflowPunct/>
        <w:topLinePunct w:val="0"/>
        <w:autoSpaceDE/>
        <w:autoSpaceDN/>
        <w:bidi w:val="0"/>
        <w:adjustRightInd/>
        <w:spacing w:beforeAutospacing="0" w:line="580" w:lineRule="exact"/>
        <w:ind w:firstLine="640"/>
        <w:textAlignment w:val="auto"/>
        <w:rPr>
          <w:rFonts w:hint="eastAsia" w:eastAsia="仿宋_GB2312" w:cs="Times New Roman"/>
          <w:color w:val="auto"/>
          <w:highlight w:val="none"/>
          <w:lang w:eastAsia="zh-CN"/>
        </w:rPr>
      </w:pPr>
      <w:r>
        <w:rPr>
          <w:rFonts w:hint="eastAsia" w:ascii="楷体_GB2312" w:hAnsi="楷体_GB2312" w:eastAsia="楷体_GB2312" w:cs="楷体_GB2312"/>
          <w:color w:val="auto"/>
          <w:sz w:val="32"/>
          <w:szCs w:val="32"/>
          <w:highlight w:val="none"/>
          <w:lang w:eastAsia="zh-CN"/>
        </w:rPr>
        <w:t>（十八）加强组织领导</w:t>
      </w:r>
      <w:r>
        <w:rPr>
          <w:rFonts w:hint="eastAsia" w:ascii="仿宋_GB2312" w:hAnsi="仿宋_GB2312" w:eastAsia="仿宋_GB2312" w:cs="仿宋_GB2312"/>
          <w:color w:val="auto"/>
          <w:sz w:val="32"/>
          <w:szCs w:val="32"/>
          <w:highlight w:val="none"/>
          <w:lang w:eastAsia="zh-CN"/>
        </w:rPr>
        <w:t>。各地要将</w:t>
      </w:r>
      <w:r>
        <w:rPr>
          <w:rFonts w:hint="eastAsia" w:ascii="仿宋_GB2312" w:hAnsi="仿宋_GB2312" w:eastAsia="仿宋_GB2312" w:cs="仿宋_GB2312"/>
          <w:color w:val="auto"/>
          <w:sz w:val="32"/>
          <w:szCs w:val="32"/>
          <w:highlight w:val="none"/>
        </w:rPr>
        <w:t>推进用水权改革</w:t>
      </w:r>
      <w:r>
        <w:rPr>
          <w:rFonts w:hint="eastAsia" w:ascii="仿宋_GB2312" w:hAnsi="仿宋_GB2312" w:eastAsia="仿宋_GB2312" w:cs="仿宋_GB2312"/>
          <w:color w:val="auto"/>
          <w:sz w:val="32"/>
          <w:szCs w:val="32"/>
          <w:highlight w:val="none"/>
          <w:lang w:eastAsia="zh-CN"/>
        </w:rPr>
        <w:t>作为</w:t>
      </w:r>
      <w:r>
        <w:rPr>
          <w:rFonts w:hint="eastAsia" w:ascii="仿宋_GB2312" w:hAnsi="仿宋_GB2312" w:eastAsia="仿宋_GB2312" w:cs="仿宋_GB2312"/>
          <w:color w:val="auto"/>
          <w:sz w:val="32"/>
          <w:szCs w:val="32"/>
          <w:highlight w:val="none"/>
        </w:rPr>
        <w:t>落实水资源刚性约束制度的一项重要工作</w:t>
      </w:r>
      <w:r>
        <w:rPr>
          <w:rFonts w:hint="eastAsia" w:ascii="仿宋_GB2312" w:hAnsi="仿宋_GB2312" w:eastAsia="仿宋_GB2312" w:cs="仿宋_GB2312"/>
          <w:color w:val="auto"/>
          <w:sz w:val="32"/>
          <w:szCs w:val="32"/>
          <w:highlight w:val="none"/>
          <w:lang w:eastAsia="zh-CN"/>
        </w:rPr>
        <w:t>任务</w:t>
      </w:r>
      <w:r>
        <w:rPr>
          <w:rFonts w:hint="eastAsia" w:ascii="仿宋_GB2312" w:hAnsi="仿宋_GB2312" w:eastAsia="仿宋_GB2312" w:cs="仿宋_GB2312"/>
          <w:color w:val="auto"/>
          <w:sz w:val="32"/>
          <w:szCs w:val="32"/>
          <w:highlight w:val="none"/>
        </w:rPr>
        <w:t>，加强组织领导，</w:t>
      </w:r>
      <w:r>
        <w:rPr>
          <w:rFonts w:hint="eastAsia" w:ascii="仿宋_GB2312" w:hAnsi="仿宋_GB2312" w:eastAsia="仿宋_GB2312" w:cs="仿宋_GB2312"/>
          <w:color w:val="auto"/>
          <w:sz w:val="32"/>
          <w:szCs w:val="32"/>
          <w:highlight w:val="none"/>
          <w:lang w:eastAsia="zh-CN"/>
        </w:rPr>
        <w:t>落实工作责任，加快推进用水权初始分配和明晰，因地制宜推进多种形式的用水权交易，推动用水权改革制度建设</w:t>
      </w:r>
      <w:r>
        <w:rPr>
          <w:rFonts w:hint="eastAsia" w:ascii="仿宋_GB2312" w:hAnsi="仿宋_GB2312" w:eastAsia="仿宋_GB2312" w:cs="仿宋_GB2312"/>
          <w:color w:val="auto"/>
          <w:sz w:val="32"/>
          <w:szCs w:val="32"/>
          <w:highlight w:val="none"/>
        </w:rPr>
        <w:t>。</w:t>
      </w:r>
    </w:p>
    <w:p>
      <w:pPr>
        <w:keepNext w:val="0"/>
        <w:keepLines w:val="0"/>
        <w:pageBreakBefore w:val="0"/>
        <w:numPr>
          <w:ilvl w:val="0"/>
          <w:numId w:val="0"/>
        </w:numPr>
        <w:kinsoku/>
        <w:overflowPunct/>
        <w:topLinePunct w:val="0"/>
        <w:autoSpaceDE/>
        <w:autoSpaceDN/>
        <w:bidi w:val="0"/>
        <w:adjustRightInd/>
        <w:spacing w:beforeAutospacing="0" w:line="580"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eastAsia="zh-CN"/>
        </w:rPr>
        <w:t>（十九）强化部门协作。</w:t>
      </w:r>
      <w:r>
        <w:rPr>
          <w:rFonts w:hint="eastAsia" w:ascii="仿宋_GB2312" w:hAnsi="仿宋_GB2312" w:eastAsia="仿宋_GB2312" w:cs="仿宋_GB2312"/>
          <w:color w:val="auto"/>
          <w:sz w:val="32"/>
          <w:szCs w:val="32"/>
          <w:highlight w:val="none"/>
          <w:lang w:eastAsia="zh-CN"/>
        </w:rPr>
        <w:t>各地水利、发展改革、财政等部门要</w:t>
      </w:r>
      <w:r>
        <w:rPr>
          <w:rFonts w:hint="eastAsia" w:ascii="仿宋_GB2312" w:hAnsi="仿宋_GB2312" w:eastAsia="仿宋_GB2312" w:cs="仿宋_GB2312"/>
          <w:color w:val="auto"/>
          <w:sz w:val="32"/>
          <w:szCs w:val="32"/>
          <w:highlight w:val="none"/>
        </w:rPr>
        <w:t>加强协作，做好与金融、</w:t>
      </w:r>
      <w:r>
        <w:rPr>
          <w:rFonts w:hint="eastAsia" w:ascii="仿宋_GB2312" w:hAnsi="仿宋_GB2312" w:eastAsia="仿宋_GB2312" w:cs="仿宋_GB2312"/>
          <w:color w:val="auto"/>
          <w:sz w:val="32"/>
          <w:szCs w:val="32"/>
          <w:highlight w:val="none"/>
          <w:lang w:eastAsia="zh-CN"/>
        </w:rPr>
        <w:t>行政审批、</w:t>
      </w:r>
      <w:r>
        <w:rPr>
          <w:rFonts w:hint="eastAsia" w:ascii="仿宋_GB2312" w:hAnsi="仿宋_GB2312" w:eastAsia="仿宋_GB2312" w:cs="仿宋_GB2312"/>
          <w:color w:val="auto"/>
          <w:sz w:val="32"/>
          <w:szCs w:val="32"/>
          <w:highlight w:val="none"/>
        </w:rPr>
        <w:t>公共资源交易等有关部门的沟通协调，</w:t>
      </w:r>
      <w:r>
        <w:rPr>
          <w:rFonts w:hint="eastAsia" w:ascii="仿宋_GB2312" w:hAnsi="仿宋_GB2312" w:eastAsia="仿宋_GB2312" w:cs="仿宋_GB2312"/>
          <w:color w:val="auto"/>
          <w:sz w:val="32"/>
          <w:szCs w:val="32"/>
          <w:highlight w:val="none"/>
          <w:lang w:eastAsia="zh-CN"/>
        </w:rPr>
        <w:t>多渠道筹措资金，</w:t>
      </w:r>
      <w:r>
        <w:rPr>
          <w:rFonts w:hint="eastAsia" w:ascii="仿宋_GB2312" w:hAnsi="仿宋_GB2312" w:eastAsia="仿宋_GB2312" w:cs="仿宋_GB2312"/>
          <w:color w:val="auto"/>
          <w:sz w:val="32"/>
          <w:szCs w:val="32"/>
          <w:highlight w:val="none"/>
        </w:rPr>
        <w:t>为推进用水权改革工作强化支撑保障。</w:t>
      </w:r>
    </w:p>
    <w:p>
      <w:pPr>
        <w:keepNext w:val="0"/>
        <w:keepLines w:val="0"/>
        <w:pageBreakBefore w:val="0"/>
        <w:kinsoku/>
        <w:overflowPunct/>
        <w:topLinePunct w:val="0"/>
        <w:autoSpaceDE/>
        <w:autoSpaceDN/>
        <w:bidi w:val="0"/>
        <w:adjustRightInd/>
        <w:spacing w:beforeAutospacing="0" w:line="580" w:lineRule="exact"/>
        <w:ind w:firstLine="64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lang w:eastAsia="zh-CN"/>
        </w:rPr>
        <w:t>（二十）加大宣传引导。</w:t>
      </w:r>
      <w:r>
        <w:rPr>
          <w:rFonts w:hint="eastAsia" w:ascii="仿宋_GB2312" w:hAnsi="仿宋_GB2312" w:eastAsia="仿宋_GB2312" w:cs="仿宋_GB2312"/>
          <w:color w:val="auto"/>
          <w:sz w:val="32"/>
          <w:szCs w:val="32"/>
          <w:highlight w:val="none"/>
        </w:rPr>
        <w:t>各级水行政主管部门要及时公开用水权改革有关信息，加大对用水权改革工作的宣传报道，及时总结推广各地在用水权改革方面的经验做法，充分调动取用水户支持、参与用水权改革工作的积极性，营造推进用水权改革的良好氛围。</w:t>
      </w:r>
    </w:p>
    <w:p>
      <w:pPr>
        <w:keepNext w:val="0"/>
        <w:keepLines w:val="0"/>
        <w:pageBreakBefore w:val="0"/>
        <w:kinsoku/>
        <w:overflowPunct/>
        <w:topLinePunct w:val="0"/>
        <w:autoSpaceDE/>
        <w:autoSpaceDN/>
        <w:bidi w:val="0"/>
        <w:adjustRightInd/>
        <w:snapToGrid w:val="0"/>
        <w:spacing w:beforeAutospacing="0"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楷体_GB2312" w:hAnsi="楷体" w:eastAsia="楷体_GB2312"/>
          <w:color w:val="auto"/>
          <w:sz w:val="32"/>
          <w:szCs w:val="32"/>
          <w:highlight w:val="none"/>
        </w:rPr>
        <w:t>（</w:t>
      </w:r>
      <w:r>
        <w:rPr>
          <w:rFonts w:hint="eastAsia" w:ascii="楷体_GB2312" w:hAnsi="楷体" w:eastAsia="楷体_GB2312"/>
          <w:color w:val="auto"/>
          <w:sz w:val="32"/>
          <w:szCs w:val="32"/>
          <w:highlight w:val="none"/>
          <w:lang w:eastAsia="zh-CN"/>
        </w:rPr>
        <w:t>二十一</w:t>
      </w:r>
      <w:r>
        <w:rPr>
          <w:rFonts w:hint="eastAsia" w:ascii="楷体_GB2312" w:hAnsi="楷体" w:eastAsia="楷体_GB2312"/>
          <w:color w:val="auto"/>
          <w:sz w:val="32"/>
          <w:szCs w:val="32"/>
          <w:highlight w:val="none"/>
        </w:rPr>
        <w:t>）做好信息报送。</w:t>
      </w:r>
      <w:r>
        <w:rPr>
          <w:rFonts w:hint="eastAsia" w:ascii="仿宋_GB2312" w:hAnsi="仿宋_GB2312" w:eastAsia="仿宋_GB2312" w:cs="仿宋_GB2312"/>
          <w:color w:val="auto"/>
          <w:sz w:val="32"/>
          <w:szCs w:val="32"/>
          <w:highlight w:val="none"/>
          <w:lang w:eastAsia="zh-CN"/>
        </w:rPr>
        <w:t>旗县级以上水行政主管部门应当于每年</w:t>
      </w:r>
      <w:r>
        <w:rPr>
          <w:rFonts w:hint="eastAsia" w:ascii="仿宋_GB2312" w:hAnsi="仿宋_GB2312" w:eastAsia="仿宋_GB2312" w:cs="仿宋_GB2312"/>
          <w:color w:val="auto"/>
          <w:sz w:val="32"/>
          <w:szCs w:val="32"/>
          <w:highlight w:val="none"/>
          <w:lang w:val="en-US" w:eastAsia="zh-CN"/>
        </w:rPr>
        <w:t>12月31日前向上一级水行政主管部门报送本行政区域本年度用水权改革工作推进情况</w:t>
      </w:r>
      <w:r>
        <w:rPr>
          <w:rFonts w:hint="eastAsia" w:ascii="仿宋_GB2312" w:hAnsi="仿宋_GB2312" w:eastAsia="仿宋_GB2312" w:cs="仿宋_GB2312"/>
          <w:color w:val="auto"/>
          <w:sz w:val="32"/>
          <w:szCs w:val="32"/>
          <w:highlight w:val="none"/>
        </w:rPr>
        <w:t>。</w:t>
      </w:r>
    </w:p>
    <w:sectPr>
      <w:footerReference r:id="rId3" w:type="default"/>
      <w:pgSz w:w="11906" w:h="16838"/>
      <w:pgMar w:top="2098" w:right="1474" w:bottom="2154"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
    <w:altName w:val="方正楷体_GBK"/>
    <w:panose1 w:val="02010609060101010101"/>
    <w:charset w:val="86"/>
    <w:family w:val="auto"/>
    <w:pitch w:val="default"/>
    <w:sig w:usb0="00000000" w:usb1="00000000" w:usb2="00000016" w:usb3="00000000" w:csb0="00040001" w:csb1="00000000"/>
  </w:font>
  <w:font w:name="华文仿宋">
    <w:altName w:val="汉仪仿宋简"/>
    <w:panose1 w:val="02010600040101010101"/>
    <w:charset w:val="86"/>
    <w:family w:val="auto"/>
    <w:pitch w:val="default"/>
    <w:sig w:usb0="00000000" w:usb1="00000000" w:usb2="00000000" w:usb3="00000000" w:csb0="0004009F" w:csb1="DFD70000"/>
  </w:font>
  <w:font w:name="华文中宋">
    <w:altName w:val="汉仪中宋简"/>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ambria">
    <w:altName w:val="Noto Sans Syriac Eastern"/>
    <w:panose1 w:val="02040503050406030204"/>
    <w:charset w:val="00"/>
    <w:family w:val="roman"/>
    <w:pitch w:val="default"/>
    <w:sig w:usb0="00000000" w:usb1="00000000"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fldChar w:fldCharType="begin"/>
                          </w:r>
                          <w:r>
                            <w:rPr>
                              <w:rFonts w:hint="eastAsia" w:asciiTheme="minorEastAsia" w:hAnsiTheme="minorEastAsia" w:eastAsiaTheme="minorEastAsia" w:cstheme="minorEastAsia"/>
                              <w:sz w:val="21"/>
                              <w:szCs w:val="21"/>
                              <w:lang w:eastAsia="zh-CN"/>
                            </w:rPr>
                            <w:instrText xml:space="preserve"> PAGE  \* MERGEFORMAT </w:instrText>
                          </w:r>
                          <w:r>
                            <w:rPr>
                              <w:rFonts w:hint="eastAsia" w:asciiTheme="minorEastAsia" w:hAnsiTheme="minorEastAsia" w:eastAsiaTheme="minorEastAsia" w:cstheme="minorEastAsia"/>
                              <w:sz w:val="21"/>
                              <w:szCs w:val="21"/>
                              <w:lang w:eastAsia="zh-CN"/>
                            </w:rPr>
                            <w:fldChar w:fldCharType="separate"/>
                          </w: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sz w:val="21"/>
                              <w:szCs w:val="21"/>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1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fldChar w:fldCharType="begin"/>
                    </w:r>
                    <w:r>
                      <w:rPr>
                        <w:rFonts w:hint="eastAsia" w:asciiTheme="minorEastAsia" w:hAnsiTheme="minorEastAsia" w:eastAsiaTheme="minorEastAsia" w:cstheme="minorEastAsia"/>
                        <w:sz w:val="21"/>
                        <w:szCs w:val="21"/>
                        <w:lang w:eastAsia="zh-CN"/>
                      </w:rPr>
                      <w:instrText xml:space="preserve"> PAGE  \* MERGEFORMAT </w:instrText>
                    </w:r>
                    <w:r>
                      <w:rPr>
                        <w:rFonts w:hint="eastAsia" w:asciiTheme="minorEastAsia" w:hAnsiTheme="minorEastAsia" w:eastAsiaTheme="minorEastAsia" w:cstheme="minorEastAsia"/>
                        <w:sz w:val="21"/>
                        <w:szCs w:val="21"/>
                        <w:lang w:eastAsia="zh-CN"/>
                      </w:rPr>
                      <w:fldChar w:fldCharType="separate"/>
                    </w: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sz w:val="21"/>
                        <w:szCs w:val="21"/>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B2F4AE"/>
    <w:multiLevelType w:val="singleLevel"/>
    <w:tmpl w:val="B3B2F4AE"/>
    <w:lvl w:ilvl="0" w:tentative="0">
      <w:start w:val="1"/>
      <w:numFmt w:val="chineseCounting"/>
      <w:suff w:val="nothing"/>
      <w:lvlText w:val="%1、"/>
      <w:lvlJc w:val="left"/>
      <w:rPr>
        <w:rFonts w:hint="eastAsia" w:ascii="黑体" w:hAnsi="黑体" w:eastAsia="黑体" w:cs="黑体"/>
      </w:rPr>
    </w:lvl>
  </w:abstractNum>
  <w:abstractNum w:abstractNumId="1">
    <w:nsid w:val="F1B07A66"/>
    <w:multiLevelType w:val="singleLevel"/>
    <w:tmpl w:val="F1B07A66"/>
    <w:lvl w:ilvl="0" w:tentative="0">
      <w:start w:val="4"/>
      <w:numFmt w:val="chineseCounting"/>
      <w:suff w:val="nothing"/>
      <w:lvlText w:val="（%1）"/>
      <w:lvlJc w:val="left"/>
      <w:rPr>
        <w:rFonts w:hint="eastAsia" w:ascii="楷体_GB2312" w:hAnsi="楷体_GB2312" w:eastAsia="楷体_GB2312" w:cs="楷体_GB2312"/>
        <w:color w:val="auto"/>
        <w:sz w:val="32"/>
        <w:szCs w:val="32"/>
        <w:highlight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1OGRjNzRlMzVlMWE1NWY2Y2Y3NjNhZDZmYWUxNGEifQ=="/>
  </w:docVars>
  <w:rsids>
    <w:rsidRoot w:val="3CA05554"/>
    <w:rsid w:val="024A1440"/>
    <w:rsid w:val="026C4FD1"/>
    <w:rsid w:val="02FE4722"/>
    <w:rsid w:val="04CB2523"/>
    <w:rsid w:val="06083F86"/>
    <w:rsid w:val="076F5C93"/>
    <w:rsid w:val="088C684F"/>
    <w:rsid w:val="08EA32D7"/>
    <w:rsid w:val="09781267"/>
    <w:rsid w:val="09E7508C"/>
    <w:rsid w:val="0AAE262A"/>
    <w:rsid w:val="0AFA4718"/>
    <w:rsid w:val="0B52511C"/>
    <w:rsid w:val="0B890A2B"/>
    <w:rsid w:val="0C010854"/>
    <w:rsid w:val="0C532763"/>
    <w:rsid w:val="0C7D1082"/>
    <w:rsid w:val="0D443B54"/>
    <w:rsid w:val="0D9B2706"/>
    <w:rsid w:val="0DB10C42"/>
    <w:rsid w:val="0DC35EB9"/>
    <w:rsid w:val="0DF844FE"/>
    <w:rsid w:val="0E1922A7"/>
    <w:rsid w:val="0E6C5B7A"/>
    <w:rsid w:val="0F0D686D"/>
    <w:rsid w:val="0F3357EC"/>
    <w:rsid w:val="102F31A6"/>
    <w:rsid w:val="10BB209B"/>
    <w:rsid w:val="11627CCB"/>
    <w:rsid w:val="119B4A4D"/>
    <w:rsid w:val="12555A81"/>
    <w:rsid w:val="129C7AA3"/>
    <w:rsid w:val="142D1A42"/>
    <w:rsid w:val="14625292"/>
    <w:rsid w:val="15452A4B"/>
    <w:rsid w:val="169EB630"/>
    <w:rsid w:val="184F42CB"/>
    <w:rsid w:val="18C1177B"/>
    <w:rsid w:val="18FFF6E4"/>
    <w:rsid w:val="19A75DA5"/>
    <w:rsid w:val="19D84FCE"/>
    <w:rsid w:val="19E24917"/>
    <w:rsid w:val="1A780BAE"/>
    <w:rsid w:val="1A7F1512"/>
    <w:rsid w:val="1AF26BB7"/>
    <w:rsid w:val="1B1A78E7"/>
    <w:rsid w:val="1B2616B4"/>
    <w:rsid w:val="1B2B4C8B"/>
    <w:rsid w:val="1B4635AC"/>
    <w:rsid w:val="1B5F72D9"/>
    <w:rsid w:val="1CFE46D9"/>
    <w:rsid w:val="1DA96D31"/>
    <w:rsid w:val="1EF51645"/>
    <w:rsid w:val="1FAE4D48"/>
    <w:rsid w:val="1FC36345"/>
    <w:rsid w:val="1FCFEBB3"/>
    <w:rsid w:val="1FD66F9E"/>
    <w:rsid w:val="1FFF8255"/>
    <w:rsid w:val="203B1E13"/>
    <w:rsid w:val="206E058F"/>
    <w:rsid w:val="20AB3D03"/>
    <w:rsid w:val="217F5B2A"/>
    <w:rsid w:val="22056B7C"/>
    <w:rsid w:val="222FB8ED"/>
    <w:rsid w:val="22466FB8"/>
    <w:rsid w:val="24835DF0"/>
    <w:rsid w:val="24993436"/>
    <w:rsid w:val="24D900B3"/>
    <w:rsid w:val="2524504F"/>
    <w:rsid w:val="25B16AEA"/>
    <w:rsid w:val="26876E01"/>
    <w:rsid w:val="26924756"/>
    <w:rsid w:val="27BB4ECC"/>
    <w:rsid w:val="27BF77CD"/>
    <w:rsid w:val="27E9092C"/>
    <w:rsid w:val="283E5F26"/>
    <w:rsid w:val="29545620"/>
    <w:rsid w:val="29621CEB"/>
    <w:rsid w:val="29F32671"/>
    <w:rsid w:val="2AF57E13"/>
    <w:rsid w:val="2CDEDDA1"/>
    <w:rsid w:val="2D105EC0"/>
    <w:rsid w:val="2D156492"/>
    <w:rsid w:val="2D205F22"/>
    <w:rsid w:val="2D9DBD67"/>
    <w:rsid w:val="2EAF85B3"/>
    <w:rsid w:val="2ED54B41"/>
    <w:rsid w:val="2ED72066"/>
    <w:rsid w:val="2FBFEA4F"/>
    <w:rsid w:val="2FDB61B7"/>
    <w:rsid w:val="2FDE79BD"/>
    <w:rsid w:val="309A192B"/>
    <w:rsid w:val="310E70CF"/>
    <w:rsid w:val="31E41D42"/>
    <w:rsid w:val="320970D5"/>
    <w:rsid w:val="32974729"/>
    <w:rsid w:val="34D22F35"/>
    <w:rsid w:val="35502C8D"/>
    <w:rsid w:val="35DB653C"/>
    <w:rsid w:val="363BDABB"/>
    <w:rsid w:val="36910F00"/>
    <w:rsid w:val="36CA3A99"/>
    <w:rsid w:val="36E34BA9"/>
    <w:rsid w:val="374E7111"/>
    <w:rsid w:val="37679E25"/>
    <w:rsid w:val="377DC6AF"/>
    <w:rsid w:val="37E9C202"/>
    <w:rsid w:val="37F6593C"/>
    <w:rsid w:val="38E8215C"/>
    <w:rsid w:val="39227840"/>
    <w:rsid w:val="39FF4220"/>
    <w:rsid w:val="3B3FA97D"/>
    <w:rsid w:val="3B891F06"/>
    <w:rsid w:val="3C6A1D30"/>
    <w:rsid w:val="3C70641F"/>
    <w:rsid w:val="3CA05554"/>
    <w:rsid w:val="3CFE3752"/>
    <w:rsid w:val="3D72A38D"/>
    <w:rsid w:val="3DDD5E88"/>
    <w:rsid w:val="3DEA7B7E"/>
    <w:rsid w:val="3E2B0ABC"/>
    <w:rsid w:val="3E487E14"/>
    <w:rsid w:val="3E8F38B3"/>
    <w:rsid w:val="3EB9F52C"/>
    <w:rsid w:val="3EE70375"/>
    <w:rsid w:val="3EEFD5C7"/>
    <w:rsid w:val="3F231D5C"/>
    <w:rsid w:val="3F75793D"/>
    <w:rsid w:val="3F779D35"/>
    <w:rsid w:val="3F971B6F"/>
    <w:rsid w:val="3F982502"/>
    <w:rsid w:val="3FCED5D9"/>
    <w:rsid w:val="3FF3F9ED"/>
    <w:rsid w:val="3FF71B6B"/>
    <w:rsid w:val="3FFAB6FD"/>
    <w:rsid w:val="40EC316B"/>
    <w:rsid w:val="41FF6CEC"/>
    <w:rsid w:val="421939BC"/>
    <w:rsid w:val="42774184"/>
    <w:rsid w:val="428D3F54"/>
    <w:rsid w:val="42B04FBF"/>
    <w:rsid w:val="42CF2EDC"/>
    <w:rsid w:val="44DFFE4E"/>
    <w:rsid w:val="453B594A"/>
    <w:rsid w:val="46FB6524"/>
    <w:rsid w:val="474E6F5E"/>
    <w:rsid w:val="47C7290F"/>
    <w:rsid w:val="49490E40"/>
    <w:rsid w:val="4A7E7B12"/>
    <w:rsid w:val="4AA51445"/>
    <w:rsid w:val="4AF7304F"/>
    <w:rsid w:val="4B68207B"/>
    <w:rsid w:val="4C392DFB"/>
    <w:rsid w:val="4C707507"/>
    <w:rsid w:val="4C8D3178"/>
    <w:rsid w:val="4CA00F50"/>
    <w:rsid w:val="4D286844"/>
    <w:rsid w:val="4DCB2178"/>
    <w:rsid w:val="4DFB89D8"/>
    <w:rsid w:val="4EA12ED9"/>
    <w:rsid w:val="4EFE8B8D"/>
    <w:rsid w:val="4F2BD96D"/>
    <w:rsid w:val="4F4F38A8"/>
    <w:rsid w:val="4FBF2045"/>
    <w:rsid w:val="50DD4465"/>
    <w:rsid w:val="50F6784B"/>
    <w:rsid w:val="51745EA2"/>
    <w:rsid w:val="51B83E13"/>
    <w:rsid w:val="52A66C7B"/>
    <w:rsid w:val="52BA7843"/>
    <w:rsid w:val="5393ED55"/>
    <w:rsid w:val="53F320CA"/>
    <w:rsid w:val="54153EF4"/>
    <w:rsid w:val="543D0C16"/>
    <w:rsid w:val="54F71706"/>
    <w:rsid w:val="55B27AF8"/>
    <w:rsid w:val="55F3692C"/>
    <w:rsid w:val="56596B63"/>
    <w:rsid w:val="56B150C0"/>
    <w:rsid w:val="57C40364"/>
    <w:rsid w:val="57FF7623"/>
    <w:rsid w:val="58C2612B"/>
    <w:rsid w:val="592D423D"/>
    <w:rsid w:val="5B1C6410"/>
    <w:rsid w:val="5BBDC824"/>
    <w:rsid w:val="5BDFB638"/>
    <w:rsid w:val="5BEF307A"/>
    <w:rsid w:val="5C0A3900"/>
    <w:rsid w:val="5C122E25"/>
    <w:rsid w:val="5C1F3E60"/>
    <w:rsid w:val="5C5A1CDE"/>
    <w:rsid w:val="5CD56A49"/>
    <w:rsid w:val="5D0F4227"/>
    <w:rsid w:val="5DF62DEE"/>
    <w:rsid w:val="5DFC012C"/>
    <w:rsid w:val="5E193E0E"/>
    <w:rsid w:val="5EF731AC"/>
    <w:rsid w:val="5F012B48"/>
    <w:rsid w:val="5F432D48"/>
    <w:rsid w:val="5F6FF11D"/>
    <w:rsid w:val="5F7F000F"/>
    <w:rsid w:val="5FA75AD2"/>
    <w:rsid w:val="5FBDD201"/>
    <w:rsid w:val="5FBE27E1"/>
    <w:rsid w:val="5FBE2CC4"/>
    <w:rsid w:val="5FBFBFC5"/>
    <w:rsid w:val="5FED2422"/>
    <w:rsid w:val="5FEFE371"/>
    <w:rsid w:val="5FF3F59F"/>
    <w:rsid w:val="5FF777B0"/>
    <w:rsid w:val="60365B77"/>
    <w:rsid w:val="60554F66"/>
    <w:rsid w:val="60C956EB"/>
    <w:rsid w:val="61626DB6"/>
    <w:rsid w:val="617D1584"/>
    <w:rsid w:val="6228721C"/>
    <w:rsid w:val="628B487D"/>
    <w:rsid w:val="6386127A"/>
    <w:rsid w:val="6478398F"/>
    <w:rsid w:val="650A312E"/>
    <w:rsid w:val="65E43FEA"/>
    <w:rsid w:val="668B720C"/>
    <w:rsid w:val="66C300FA"/>
    <w:rsid w:val="6756EFBF"/>
    <w:rsid w:val="676F2F93"/>
    <w:rsid w:val="677E8D40"/>
    <w:rsid w:val="68531770"/>
    <w:rsid w:val="687E630D"/>
    <w:rsid w:val="68C060B8"/>
    <w:rsid w:val="697E160D"/>
    <w:rsid w:val="69DC008B"/>
    <w:rsid w:val="69FF546E"/>
    <w:rsid w:val="6A3521C6"/>
    <w:rsid w:val="6A765C42"/>
    <w:rsid w:val="6ABCBB60"/>
    <w:rsid w:val="6ACB6106"/>
    <w:rsid w:val="6B53E14A"/>
    <w:rsid w:val="6BDD0C8B"/>
    <w:rsid w:val="6BDE2A61"/>
    <w:rsid w:val="6BF635AC"/>
    <w:rsid w:val="6C3110C2"/>
    <w:rsid w:val="6CDF120A"/>
    <w:rsid w:val="6CEA68C4"/>
    <w:rsid w:val="6CFA2AD1"/>
    <w:rsid w:val="6DAF0A24"/>
    <w:rsid w:val="6DCE4CAF"/>
    <w:rsid w:val="6DDC0AA9"/>
    <w:rsid w:val="6DF000A1"/>
    <w:rsid w:val="6DF7FB6A"/>
    <w:rsid w:val="6E5868D6"/>
    <w:rsid w:val="6E5F6BF1"/>
    <w:rsid w:val="6EFDF4E3"/>
    <w:rsid w:val="6F7C6744"/>
    <w:rsid w:val="6FF95D6C"/>
    <w:rsid w:val="6FFD38F8"/>
    <w:rsid w:val="6FFF32A4"/>
    <w:rsid w:val="7064009D"/>
    <w:rsid w:val="70CE5958"/>
    <w:rsid w:val="7176C9A9"/>
    <w:rsid w:val="72070B28"/>
    <w:rsid w:val="72705B11"/>
    <w:rsid w:val="72ED44BE"/>
    <w:rsid w:val="7348321B"/>
    <w:rsid w:val="737705CF"/>
    <w:rsid w:val="73A97A4B"/>
    <w:rsid w:val="743500C1"/>
    <w:rsid w:val="748D70B5"/>
    <w:rsid w:val="74A7CCA9"/>
    <w:rsid w:val="756678D6"/>
    <w:rsid w:val="75A31161"/>
    <w:rsid w:val="75EF3C8F"/>
    <w:rsid w:val="75EF4BC2"/>
    <w:rsid w:val="75FF92D1"/>
    <w:rsid w:val="76085468"/>
    <w:rsid w:val="76675F86"/>
    <w:rsid w:val="7701336B"/>
    <w:rsid w:val="7720499B"/>
    <w:rsid w:val="773F1CA7"/>
    <w:rsid w:val="777F2012"/>
    <w:rsid w:val="779FC3BA"/>
    <w:rsid w:val="77EFA459"/>
    <w:rsid w:val="77F80874"/>
    <w:rsid w:val="78175C99"/>
    <w:rsid w:val="783134BE"/>
    <w:rsid w:val="78983CDD"/>
    <w:rsid w:val="797F1598"/>
    <w:rsid w:val="7A2D52BC"/>
    <w:rsid w:val="7ABEB8A1"/>
    <w:rsid w:val="7ACC26CB"/>
    <w:rsid w:val="7B0E3521"/>
    <w:rsid w:val="7B2E0AA4"/>
    <w:rsid w:val="7B5F9CD3"/>
    <w:rsid w:val="7B6359BC"/>
    <w:rsid w:val="7B6F5C43"/>
    <w:rsid w:val="7B897BA3"/>
    <w:rsid w:val="7B8F3368"/>
    <w:rsid w:val="7BA46C4D"/>
    <w:rsid w:val="7BAAEDE9"/>
    <w:rsid w:val="7BEF5C11"/>
    <w:rsid w:val="7BEFE9DC"/>
    <w:rsid w:val="7BF2294F"/>
    <w:rsid w:val="7BFFA252"/>
    <w:rsid w:val="7C67176A"/>
    <w:rsid w:val="7CEFF137"/>
    <w:rsid w:val="7DC6D6AE"/>
    <w:rsid w:val="7DD7D242"/>
    <w:rsid w:val="7DDCB1FD"/>
    <w:rsid w:val="7DDF3B37"/>
    <w:rsid w:val="7DEFBB3A"/>
    <w:rsid w:val="7DF6A601"/>
    <w:rsid w:val="7DFDDBD1"/>
    <w:rsid w:val="7DFFA7A6"/>
    <w:rsid w:val="7E263FC3"/>
    <w:rsid w:val="7E627ADF"/>
    <w:rsid w:val="7E7B24CA"/>
    <w:rsid w:val="7EE3B246"/>
    <w:rsid w:val="7EF77A55"/>
    <w:rsid w:val="7EFEA655"/>
    <w:rsid w:val="7EFEB5EC"/>
    <w:rsid w:val="7F3636D0"/>
    <w:rsid w:val="7F7A2FF3"/>
    <w:rsid w:val="7F7F7A99"/>
    <w:rsid w:val="7F9492EE"/>
    <w:rsid w:val="7FB45707"/>
    <w:rsid w:val="7FBFCF88"/>
    <w:rsid w:val="7FCDAD63"/>
    <w:rsid w:val="7FCEC1C6"/>
    <w:rsid w:val="7FE131DC"/>
    <w:rsid w:val="7FE72592"/>
    <w:rsid w:val="7FEAF0AA"/>
    <w:rsid w:val="7FF1C9BA"/>
    <w:rsid w:val="7FF3DC58"/>
    <w:rsid w:val="7FF7FA90"/>
    <w:rsid w:val="7FFBBC38"/>
    <w:rsid w:val="7FFF19B7"/>
    <w:rsid w:val="8FBB5A01"/>
    <w:rsid w:val="9B259B4D"/>
    <w:rsid w:val="9CFAD8E6"/>
    <w:rsid w:val="9EFE4B16"/>
    <w:rsid w:val="9F7382FA"/>
    <w:rsid w:val="9F7F5CDD"/>
    <w:rsid w:val="9FE39085"/>
    <w:rsid w:val="A3E78EA6"/>
    <w:rsid w:val="ACDDF9A8"/>
    <w:rsid w:val="AD7F4C26"/>
    <w:rsid w:val="AF7F82ED"/>
    <w:rsid w:val="AFF549E2"/>
    <w:rsid w:val="AFFA1983"/>
    <w:rsid w:val="AFFF5382"/>
    <w:rsid w:val="B09F01A9"/>
    <w:rsid w:val="B35FCE71"/>
    <w:rsid w:val="B3FB6F16"/>
    <w:rsid w:val="B47CEF58"/>
    <w:rsid w:val="B5579ED6"/>
    <w:rsid w:val="B5DE833D"/>
    <w:rsid w:val="B6FE0BBC"/>
    <w:rsid w:val="B7DD4297"/>
    <w:rsid w:val="B7F93AD0"/>
    <w:rsid w:val="B97FA0EB"/>
    <w:rsid w:val="B9FE83A8"/>
    <w:rsid w:val="BAF71161"/>
    <w:rsid w:val="BD5D98A8"/>
    <w:rsid w:val="BDDFA361"/>
    <w:rsid w:val="BDF58CA1"/>
    <w:rsid w:val="BE8FD3DE"/>
    <w:rsid w:val="BEFF97CC"/>
    <w:rsid w:val="BF5DC847"/>
    <w:rsid w:val="BF731B46"/>
    <w:rsid w:val="BF7734B7"/>
    <w:rsid w:val="BF98E849"/>
    <w:rsid w:val="BFA20713"/>
    <w:rsid w:val="BFBFC326"/>
    <w:rsid w:val="BFDD4F03"/>
    <w:rsid w:val="BFF3E1FE"/>
    <w:rsid w:val="BFFADB07"/>
    <w:rsid w:val="BFFF999B"/>
    <w:rsid w:val="C3FFBCAE"/>
    <w:rsid w:val="CF7AC6BF"/>
    <w:rsid w:val="CF9701D7"/>
    <w:rsid w:val="CFDF795D"/>
    <w:rsid w:val="D0BF8D90"/>
    <w:rsid w:val="D1F4F22E"/>
    <w:rsid w:val="D1FFA31B"/>
    <w:rsid w:val="D27704C0"/>
    <w:rsid w:val="D3FA874F"/>
    <w:rsid w:val="D6B9527E"/>
    <w:rsid w:val="D76A9E41"/>
    <w:rsid w:val="D795967C"/>
    <w:rsid w:val="D7FFD679"/>
    <w:rsid w:val="DB2EAFC4"/>
    <w:rsid w:val="DB6EA376"/>
    <w:rsid w:val="DB7CAAF8"/>
    <w:rsid w:val="DBDE2360"/>
    <w:rsid w:val="DBEFBFD1"/>
    <w:rsid w:val="DBFB29A5"/>
    <w:rsid w:val="DBFFD1D9"/>
    <w:rsid w:val="DD777828"/>
    <w:rsid w:val="DD7FE89F"/>
    <w:rsid w:val="DEFE0E96"/>
    <w:rsid w:val="DFAF3534"/>
    <w:rsid w:val="DFBFE861"/>
    <w:rsid w:val="E5D705F0"/>
    <w:rsid w:val="E656972A"/>
    <w:rsid w:val="E66FE925"/>
    <w:rsid w:val="E7F73A4E"/>
    <w:rsid w:val="E7F9B663"/>
    <w:rsid w:val="E7FE74AE"/>
    <w:rsid w:val="E87FFDD1"/>
    <w:rsid w:val="EB9D7AD3"/>
    <w:rsid w:val="ED4CA2F4"/>
    <w:rsid w:val="ED759062"/>
    <w:rsid w:val="EDEE9F61"/>
    <w:rsid w:val="EEF9EBE8"/>
    <w:rsid w:val="EF6F4976"/>
    <w:rsid w:val="EF9D3693"/>
    <w:rsid w:val="EF9E9612"/>
    <w:rsid w:val="F32E7F56"/>
    <w:rsid w:val="F3EB5A30"/>
    <w:rsid w:val="F3EE5CED"/>
    <w:rsid w:val="F3FE051B"/>
    <w:rsid w:val="F3FE9521"/>
    <w:rsid w:val="F47DA68E"/>
    <w:rsid w:val="F52D257E"/>
    <w:rsid w:val="F57F8846"/>
    <w:rsid w:val="F5BF3C2B"/>
    <w:rsid w:val="F5CF0F2A"/>
    <w:rsid w:val="F6F7F282"/>
    <w:rsid w:val="F6FDC795"/>
    <w:rsid w:val="F7AFD0E2"/>
    <w:rsid w:val="F7DC5D74"/>
    <w:rsid w:val="F7FBD99D"/>
    <w:rsid w:val="F85F1625"/>
    <w:rsid w:val="F8FBC430"/>
    <w:rsid w:val="F9BF6740"/>
    <w:rsid w:val="F9FDAEF1"/>
    <w:rsid w:val="F9FEC57C"/>
    <w:rsid w:val="FB7F012E"/>
    <w:rsid w:val="FBBEB6A6"/>
    <w:rsid w:val="FBED4E2D"/>
    <w:rsid w:val="FBF90C3E"/>
    <w:rsid w:val="FBFF3A3B"/>
    <w:rsid w:val="FC39B1CB"/>
    <w:rsid w:val="FC3F765F"/>
    <w:rsid w:val="FCDD1361"/>
    <w:rsid w:val="FCED0742"/>
    <w:rsid w:val="FCFBE72C"/>
    <w:rsid w:val="FCFDC496"/>
    <w:rsid w:val="FD97A59E"/>
    <w:rsid w:val="FDDF1B47"/>
    <w:rsid w:val="FDFD1B8F"/>
    <w:rsid w:val="FDFF3D71"/>
    <w:rsid w:val="FE7A5B87"/>
    <w:rsid w:val="FEE78B2A"/>
    <w:rsid w:val="FEF9366D"/>
    <w:rsid w:val="FEFBA62E"/>
    <w:rsid w:val="FF0FACDE"/>
    <w:rsid w:val="FF398CD0"/>
    <w:rsid w:val="FF970200"/>
    <w:rsid w:val="FFB61E5D"/>
    <w:rsid w:val="FFBF634A"/>
    <w:rsid w:val="FFCB59E6"/>
    <w:rsid w:val="FFEB0061"/>
    <w:rsid w:val="FFEFCC79"/>
    <w:rsid w:val="FFF359EC"/>
    <w:rsid w:val="FFF56012"/>
    <w:rsid w:val="FFF577A8"/>
    <w:rsid w:val="FFFB856E"/>
    <w:rsid w:val="FFFECBB8"/>
    <w:rsid w:val="FFFF89E7"/>
    <w:rsid w:val="FFFFE1F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20"/>
    <w:unhideWhenUsed/>
    <w:qFormat/>
    <w:uiPriority w:val="0"/>
    <w:pPr>
      <w:keepNext/>
      <w:keepLines/>
      <w:widowControl w:val="0"/>
      <w:suppressLineNumbers w:val="0"/>
      <w:spacing w:before="260" w:beforeLines="0" w:beforeAutospacing="0" w:after="260" w:afterLines="0" w:afterAutospacing="0" w:line="412" w:lineRule="auto"/>
      <w:jc w:val="both"/>
      <w:outlineLvl w:val="2"/>
    </w:pPr>
    <w:rPr>
      <w:rFonts w:hint="default" w:ascii="Calibri" w:hAnsi="Calibri" w:eastAsia="楷体" w:cs="黑体"/>
      <w:b/>
      <w:bCs/>
      <w:kern w:val="2"/>
      <w:sz w:val="32"/>
      <w:szCs w:val="32"/>
      <w:lang w:val="en-US" w:eastAsia="zh-CN" w:bidi="ar"/>
    </w:rPr>
  </w:style>
  <w:style w:type="paragraph" w:styleId="6">
    <w:name w:val="heading 4"/>
    <w:basedOn w:val="1"/>
    <w:next w:val="1"/>
    <w:semiHidden/>
    <w:unhideWhenUsed/>
    <w:qFormat/>
    <w:uiPriority w:val="0"/>
    <w:pPr>
      <w:keepNext/>
      <w:keepLines/>
      <w:widowControl w:val="0"/>
      <w:suppressLineNumbers w:val="0"/>
      <w:spacing w:before="0" w:beforeLines="0" w:beforeAutospacing="0" w:after="0" w:afterLines="0" w:afterAutospacing="0"/>
      <w:ind w:firstLine="643" w:firstLineChars="200"/>
      <w:jc w:val="both"/>
      <w:outlineLvl w:val="3"/>
    </w:pPr>
    <w:rPr>
      <w:rFonts w:hint="default" w:ascii="Arial" w:hAnsi="Arial" w:eastAsia="华文仿宋" w:cs="黑体"/>
      <w:b/>
      <w:bCs/>
      <w:kern w:val="2"/>
      <w:sz w:val="32"/>
      <w:szCs w:val="32"/>
      <w:lang w:val="en-US" w:eastAsia="zh-CN" w:bidi="ar"/>
    </w:rPr>
  </w:style>
  <w:style w:type="character" w:default="1" w:styleId="17">
    <w:name w:val="Default Paragraph Font"/>
    <w:semiHidden/>
    <w:qFormat/>
    <w:uiPriority w:val="0"/>
  </w:style>
  <w:style w:type="table" w:default="1" w:styleId="1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caption"/>
    <w:basedOn w:val="1"/>
    <w:next w:val="1"/>
    <w:qFormat/>
    <w:uiPriority w:val="0"/>
    <w:rPr>
      <w:rFonts w:ascii="Arial" w:hAnsi="Arial" w:eastAsia="黑体" w:cs="Times New Roman"/>
      <w:sz w:val="20"/>
    </w:rPr>
  </w:style>
  <w:style w:type="paragraph" w:styleId="7">
    <w:name w:val="annotation text"/>
    <w:basedOn w:val="1"/>
    <w:qFormat/>
    <w:uiPriority w:val="0"/>
    <w:pPr>
      <w:jc w:val="left"/>
    </w:pPr>
  </w:style>
  <w:style w:type="paragraph" w:styleId="8">
    <w:name w:val="Body Text"/>
    <w:basedOn w:val="1"/>
    <w:next w:val="9"/>
    <w:qFormat/>
    <w:uiPriority w:val="0"/>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9">
    <w:name w:val="Body Text Indent"/>
    <w:basedOn w:val="1"/>
    <w:qFormat/>
    <w:uiPriority w:val="0"/>
    <w:pPr>
      <w:keepNext w:val="0"/>
      <w:keepLines w:val="0"/>
      <w:widowControl w:val="0"/>
      <w:suppressLineNumbers w:val="0"/>
      <w:spacing w:after="120" w:afterLines="0" w:afterAutospacing="0"/>
      <w:ind w:left="420" w:leftChars="200"/>
      <w:jc w:val="both"/>
    </w:pPr>
    <w:rPr>
      <w:rFonts w:hint="default" w:ascii="Calibri" w:hAnsi="Calibri" w:cs="黑体"/>
      <w:kern w:val="2"/>
      <w:sz w:val="21"/>
      <w:szCs w:val="21"/>
      <w:lang w:val="en-US" w:eastAsia="zh-CN" w:bidi="ar"/>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rPr>
      <w:sz w:val="24"/>
    </w:rPr>
  </w:style>
  <w:style w:type="paragraph" w:styleId="13">
    <w:name w:val="Body Text First Indent"/>
    <w:basedOn w:val="8"/>
    <w:qFormat/>
    <w:uiPriority w:val="0"/>
    <w:pPr>
      <w:ind w:firstLine="420" w:firstLineChars="100"/>
    </w:pPr>
  </w:style>
  <w:style w:type="paragraph" w:styleId="14">
    <w:name w:val="Body Text First Indent 2"/>
    <w:qFormat/>
    <w:uiPriority w:val="0"/>
    <w:pPr>
      <w:keepNext w:val="0"/>
      <w:keepLines w:val="0"/>
      <w:widowControl w:val="0"/>
      <w:suppressLineNumbers w:val="0"/>
      <w:spacing w:after="120" w:afterLines="0" w:afterAutospacing="0"/>
      <w:ind w:left="420" w:leftChars="200" w:firstLine="420" w:firstLineChars="200"/>
      <w:jc w:val="both"/>
    </w:pPr>
    <w:rPr>
      <w:rFonts w:hint="default" w:ascii="Calibri" w:hAnsi="Calibri" w:eastAsia="宋体" w:cs="黑体"/>
      <w:kern w:val="2"/>
      <w:sz w:val="21"/>
      <w:szCs w:val="21"/>
      <w:lang w:val="en-US" w:eastAsia="zh-CN" w:bidi="ar"/>
    </w:rPr>
  </w:style>
  <w:style w:type="table" w:styleId="16">
    <w:name w:val="Table Grid"/>
    <w:basedOn w:val="15"/>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8">
    <w:name w:val="Strong"/>
    <w:basedOn w:val="17"/>
    <w:qFormat/>
    <w:uiPriority w:val="0"/>
    <w:rPr>
      <w:b/>
    </w:rPr>
  </w:style>
  <w:style w:type="paragraph" w:customStyle="1" w:styleId="19">
    <w:name w:val="纯文本1"/>
    <w:basedOn w:val="1"/>
    <w:qFormat/>
    <w:uiPriority w:val="0"/>
    <w:rPr>
      <w:rFonts w:ascii="宋体" w:hAnsi="Courier New" w:cs="Courier New"/>
      <w:szCs w:val="21"/>
    </w:rPr>
  </w:style>
  <w:style w:type="character" w:customStyle="1" w:styleId="20">
    <w:name w:val="标题 3 Char"/>
    <w:link w:val="5"/>
    <w:qFormat/>
    <w:uiPriority w:val="0"/>
    <w:rPr>
      <w:b/>
      <w:sz w:val="32"/>
    </w:rPr>
  </w:style>
  <w:style w:type="character" w:customStyle="1" w:styleId="21">
    <w:name w:val="15"/>
    <w:basedOn w:val="17"/>
    <w:qFormat/>
    <w:uiPriority w:val="0"/>
    <w:rPr>
      <w:rFonts w:hint="eastAsia" w:ascii="宋体" w:hAnsi="宋体" w:eastAsia="宋体" w:cs="宋体"/>
      <w:color w:val="000000"/>
      <w:sz w:val="20"/>
      <w:szCs w:val="20"/>
    </w:rPr>
  </w:style>
  <w:style w:type="character" w:customStyle="1" w:styleId="22">
    <w:name w:val="17"/>
    <w:basedOn w:val="17"/>
    <w:qFormat/>
    <w:uiPriority w:val="0"/>
    <w:rPr>
      <w:rFonts w:hint="eastAsia" w:ascii="宋体" w:hAnsi="宋体" w:eastAsia="宋体" w:cs="宋体"/>
      <w:b/>
      <w:bCs/>
      <w:color w:val="000000"/>
      <w:sz w:val="20"/>
      <w:szCs w:val="20"/>
    </w:rPr>
  </w:style>
  <w:style w:type="character" w:customStyle="1" w:styleId="23">
    <w:name w:val="18"/>
    <w:basedOn w:val="17"/>
    <w:qFormat/>
    <w:uiPriority w:val="0"/>
    <w:rPr>
      <w:rFonts w:hint="eastAsia" w:ascii="华文中宋" w:hAnsi="华文中宋" w:eastAsia="华文中宋" w:cs="华文中宋"/>
      <w:b/>
      <w:bCs/>
      <w:color w:val="000000"/>
      <w:sz w:val="22"/>
      <w:szCs w:val="22"/>
    </w:rPr>
  </w:style>
  <w:style w:type="character" w:customStyle="1" w:styleId="24">
    <w:name w:val="16"/>
    <w:basedOn w:val="17"/>
    <w:qFormat/>
    <w:uiPriority w:val="0"/>
    <w:rPr>
      <w:rFonts w:hint="eastAsia" w:ascii="宋体" w:hAnsi="宋体" w:eastAsia="宋体" w:cs="宋体"/>
      <w:color w:val="000000"/>
      <w:sz w:val="20"/>
      <w:szCs w:val="20"/>
    </w:rPr>
  </w:style>
  <w:style w:type="character" w:customStyle="1" w:styleId="25">
    <w:name w:val="font11"/>
    <w:basedOn w:val="17"/>
    <w:qFormat/>
    <w:uiPriority w:val="0"/>
    <w:rPr>
      <w:rFonts w:hint="default" w:ascii="仿宋_GB2312" w:eastAsia="仿宋_GB2312" w:cs="仿宋_GB2312"/>
      <w:color w:val="000000"/>
      <w:sz w:val="28"/>
      <w:szCs w:val="28"/>
      <w:u w:val="none"/>
    </w:rPr>
  </w:style>
  <w:style w:type="character" w:customStyle="1" w:styleId="26">
    <w:name w:val="font01"/>
    <w:basedOn w:val="17"/>
    <w:qFormat/>
    <w:uiPriority w:val="0"/>
    <w:rPr>
      <w:rFonts w:hint="default" w:ascii="仿宋_GB2312" w:eastAsia="仿宋_GB2312" w:cs="仿宋_GB2312"/>
      <w:color w:val="000000"/>
      <w:sz w:val="28"/>
      <w:szCs w:val="28"/>
      <w:u w:val="none"/>
    </w:rPr>
  </w:style>
  <w:style w:type="character" w:customStyle="1" w:styleId="27">
    <w:name w:val="font61"/>
    <w:basedOn w:val="17"/>
    <w:qFormat/>
    <w:uiPriority w:val="0"/>
    <w:rPr>
      <w:rFonts w:hint="default" w:ascii="仿宋_GB2312" w:eastAsia="仿宋_GB2312" w:cs="仿宋_GB2312"/>
      <w:color w:val="C00000"/>
      <w:sz w:val="28"/>
      <w:szCs w:val="28"/>
      <w:u w:val="none"/>
    </w:rPr>
  </w:style>
  <w:style w:type="character" w:customStyle="1" w:styleId="28">
    <w:name w:val="font41"/>
    <w:basedOn w:val="17"/>
    <w:qFormat/>
    <w:uiPriority w:val="0"/>
    <w:rPr>
      <w:rFonts w:hint="default"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5857</Words>
  <Characters>5879</Characters>
  <Lines>1</Lines>
  <Paragraphs>1</Paragraphs>
  <TotalTime>63</TotalTime>
  <ScaleCrop>false</ScaleCrop>
  <LinksUpToDate>false</LinksUpToDate>
  <CharactersWithSpaces>5881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2024-02-05T08:14:00Z</dcterms:created>
  <dc:creator>Iris</dc:creator>
  <cp:lastModifiedBy>杨燕</cp:lastModifiedBy>
  <cp:lastPrinted>2024-11-06T01:18:00Z</cp:lastPrinted>
  <dcterms:modified xsi:type="dcterms:W3CDTF">2024-11-05T14:38:41Z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B1613E1F4A88447A9D71A65ACC44185E_13</vt:lpwstr>
  </property>
</Properties>
</file>